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C943EF" w:rsidTr="00F46EC1">
        <w:tc>
          <w:tcPr>
            <w:tcW w:w="4395" w:type="dxa"/>
          </w:tcPr>
          <w:p w:rsidR="006E593A" w:rsidRPr="00C943EF" w:rsidRDefault="00DB346F" w:rsidP="00DB34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16.12.2021   № 549-П «О мерах по реализации Закона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от 26.11.2021 № 5 «О краевом бюджете на 2022 </w:t>
            </w:r>
            <w:r w:rsidR="0036771F">
              <w:rPr>
                <w:rFonts w:ascii="Times New Roman" w:hAnsi="Times New Roman" w:cs="Times New Roman"/>
                <w:sz w:val="28"/>
                <w:szCs w:val="28"/>
              </w:rPr>
              <w:t>год и на плановый период 2023 и</w:t>
            </w:r>
            <w:r w:rsidR="00367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2024 годов»</w:t>
            </w:r>
          </w:p>
        </w:tc>
      </w:tr>
    </w:tbl>
    <w:p w:rsidR="004549E8" w:rsidRPr="00C943EF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19" w:rsidRPr="00C943EF" w:rsidRDefault="00720819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682" w:rsidRPr="003271E5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1E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C5682" w:rsidRPr="003271E5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46F" w:rsidRPr="003271E5" w:rsidRDefault="00DB346F" w:rsidP="00DB346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E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16.12.2021         № 549-П «О мерах по реализации Закона Камчатского края от 26.11.2021 № 5 </w:t>
      </w:r>
      <w:r w:rsidR="0036771F">
        <w:rPr>
          <w:rFonts w:ascii="Times New Roman" w:hAnsi="Times New Roman" w:cs="Times New Roman"/>
          <w:sz w:val="28"/>
          <w:szCs w:val="28"/>
        </w:rPr>
        <w:br/>
      </w:r>
      <w:r w:rsidRPr="003271E5">
        <w:rPr>
          <w:rFonts w:ascii="Times New Roman" w:hAnsi="Times New Roman" w:cs="Times New Roman"/>
          <w:sz w:val="28"/>
          <w:szCs w:val="28"/>
        </w:rPr>
        <w:t>«О краевом бюджете на 2022 год и на плановый период 2023 и 2024 годов» следующие изменения:</w:t>
      </w:r>
    </w:p>
    <w:p w:rsidR="00D745AE" w:rsidRPr="003271E5" w:rsidRDefault="004375D0" w:rsidP="008A431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15</w:t>
      </w:r>
      <w:r w:rsidRPr="004375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D745AE" w:rsidRPr="0032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5E" w:rsidRPr="003271E5" w:rsidRDefault="004375D0" w:rsidP="0043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375D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375D0">
        <w:rPr>
          <w:rFonts w:ascii="Times New Roman" w:hAnsi="Times New Roman" w:cs="Times New Roman"/>
          <w:sz w:val="28"/>
          <w:szCs w:val="28"/>
        </w:rPr>
        <w:t xml:space="preserve">26 </w:t>
      </w:r>
      <w:r w:rsidRPr="004375D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375D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5D0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5D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установить, что 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экономия средств, предоставленных из краевого бюджета, полученная по итогам определения поставщика (подрядчика, исполнителя) товаров (работ, услуг) для государственных нужд (за исключением экономии по средствам дорожного фонда Камчатского края, </w:t>
      </w:r>
      <w:r w:rsidRPr="004375D0">
        <w:rPr>
          <w:rFonts w:ascii="Times New Roman" w:hAnsi="Times New Roman" w:cs="Times New Roman"/>
          <w:sz w:val="28"/>
          <w:szCs w:val="28"/>
        </w:rPr>
        <w:t>инвестиционной программы Камчатского края на 2022 год и на плановый период 2023 - 2024 годов и прогнозный период 2025 - 2026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</w:t>
      </w:r>
      <w:r w:rsidRPr="004375D0">
        <w:rPr>
          <w:rFonts w:ascii="Times New Roman" w:hAnsi="Times New Roman" w:cs="Times New Roman"/>
          <w:sz w:val="28"/>
          <w:szCs w:val="28"/>
        </w:rPr>
        <w:t xml:space="preserve">29.11.2021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5D0">
        <w:rPr>
          <w:rFonts w:ascii="Times New Roman" w:hAnsi="Times New Roman" w:cs="Times New Roman"/>
          <w:sz w:val="28"/>
          <w:szCs w:val="28"/>
        </w:rPr>
        <w:t xml:space="preserve"> 507-П</w:t>
      </w:r>
      <w:r>
        <w:rPr>
          <w:rFonts w:ascii="Times New Roman" w:hAnsi="Times New Roman" w:cs="Times New Roman"/>
          <w:sz w:val="28"/>
          <w:szCs w:val="28"/>
        </w:rPr>
        <w:t xml:space="preserve">, экономии по целевым средствам, поступившим из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Федерации, от государственной корпорации - Фонда содействия реформированию жилищно-коммунального хозяйства, а также по средствам, полученным по итогам определения поставщика (подрядчика, исполнителя) товаров (работ, услуг) за счет субсидий на выполнение государственного задания краевыми государственными бюджетными и автономными учреждениями) </w:t>
      </w:r>
      <w:r w:rsidRPr="004375D0">
        <w:rPr>
          <w:rFonts w:ascii="Times New Roman" w:hAnsi="Times New Roman" w:cs="Times New Roman"/>
          <w:sz w:val="28"/>
          <w:szCs w:val="28"/>
        </w:rPr>
        <w:t xml:space="preserve">направляется на увеличение объема </w:t>
      </w:r>
      <w:r>
        <w:rPr>
          <w:rFonts w:ascii="Times New Roman" w:hAnsi="Times New Roman" w:cs="Times New Roman"/>
          <w:sz w:val="28"/>
          <w:szCs w:val="28"/>
        </w:rPr>
        <w:t>Резервного фонда Камчатского края</w:t>
      </w:r>
      <w:r w:rsidRPr="004375D0">
        <w:rPr>
          <w:rFonts w:ascii="Times New Roman" w:hAnsi="Times New Roman" w:cs="Times New Roman"/>
          <w:sz w:val="28"/>
          <w:szCs w:val="28"/>
        </w:rPr>
        <w:t>, в порядке согласно приложе</w:t>
      </w:r>
      <w:r w:rsidRPr="004375D0">
        <w:rPr>
          <w:rFonts w:ascii="Times New Roman" w:hAnsi="Times New Roman" w:cs="Times New Roman"/>
          <w:sz w:val="28"/>
          <w:szCs w:val="28"/>
        </w:rPr>
        <w:t>нию к настоящему Постановлению.»;</w:t>
      </w:r>
    </w:p>
    <w:p w:rsidR="004375D0" w:rsidRPr="004375D0" w:rsidRDefault="004375D0" w:rsidP="004375D0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D0">
        <w:rPr>
          <w:rFonts w:ascii="Times New Roman" w:hAnsi="Times New Roman" w:cs="Times New Roman"/>
          <w:sz w:val="28"/>
          <w:szCs w:val="28"/>
        </w:rPr>
        <w:t xml:space="preserve">дополнить приложением согласно </w:t>
      </w:r>
      <w:proofErr w:type="gramStart"/>
      <w:r w:rsidRPr="004375D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375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75D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8327C" w:rsidRPr="003271E5" w:rsidRDefault="008D0854" w:rsidP="00C943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71E5">
        <w:rPr>
          <w:rFonts w:ascii="Times New Roman" w:hAnsi="Times New Roman" w:cs="Times New Roman"/>
          <w:sz w:val="28"/>
          <w:szCs w:val="28"/>
        </w:rPr>
        <w:t xml:space="preserve">2. </w:t>
      </w:r>
      <w:r w:rsidR="004C5682" w:rsidRPr="003271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2AF6" w:rsidRPr="003271E5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4C5682" w:rsidRPr="003271E5">
        <w:rPr>
          <w:rFonts w:ascii="Times New Roman" w:hAnsi="Times New Roman" w:cs="Times New Roman"/>
          <w:sz w:val="28"/>
          <w:szCs w:val="28"/>
        </w:rPr>
        <w:t>.</w:t>
      </w:r>
    </w:p>
    <w:p w:rsidR="0008327C" w:rsidRPr="003271E5" w:rsidRDefault="0008327C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700" w:rsidRPr="003271E5" w:rsidRDefault="00D82700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57" w:rsidRPr="003271E5" w:rsidRDefault="00FF6557" w:rsidP="00FF65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3"/>
      </w:tblGrid>
      <w:tr w:rsidR="00FF6557" w:rsidRPr="00076132" w:rsidTr="005E069E">
        <w:trPr>
          <w:trHeight w:val="1232"/>
        </w:trPr>
        <w:tc>
          <w:tcPr>
            <w:tcW w:w="3969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033533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FF6557" w:rsidRPr="00076132" w:rsidRDefault="00FF6557" w:rsidP="005E069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F6557" w:rsidRPr="00076132" w:rsidRDefault="00FF6557" w:rsidP="005E06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2F3844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8327C" w:rsidRDefault="0008327C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Default="004375D0" w:rsidP="0008327C"/>
    <w:p w:rsidR="004375D0" w:rsidRPr="00684D36" w:rsidRDefault="004375D0" w:rsidP="004375D0">
      <w:pPr>
        <w:spacing w:after="0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84D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4375D0" w:rsidRPr="00684D36" w:rsidRDefault="004375D0" w:rsidP="004375D0">
      <w:pPr>
        <w:spacing w:after="0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84D36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4375D0" w:rsidRPr="00684D36" w:rsidRDefault="007F739C" w:rsidP="004375D0">
      <w:pPr>
        <w:shd w:val="clear" w:color="auto" w:fill="FFFFFF" w:themeFill="background1"/>
        <w:tabs>
          <w:tab w:val="left" w:pos="9637"/>
        </w:tabs>
        <w:suppressAutoHyphens/>
        <w:spacing w:after="0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bookmarkStart w:id="3" w:name="_GoBack"/>
      <w:bookmarkEnd w:id="3"/>
      <w:r w:rsidR="004375D0" w:rsidRPr="00684D36">
        <w:rPr>
          <w:rFonts w:ascii="Times New Roman" w:hAnsi="Times New Roman" w:cs="Times New Roman"/>
          <w:bCs/>
          <w:sz w:val="28"/>
          <w:szCs w:val="28"/>
        </w:rPr>
        <w:t>[</w:t>
      </w:r>
      <w:r w:rsidR="004375D0">
        <w:rPr>
          <w:rFonts w:ascii="Times New Roman" w:hAnsi="Times New Roman" w:cs="Times New Roman"/>
          <w:sz w:val="18"/>
          <w:szCs w:val="18"/>
        </w:rPr>
        <w:t>Д</w:t>
      </w:r>
      <w:r w:rsidR="004375D0" w:rsidRPr="00684D36">
        <w:rPr>
          <w:rFonts w:ascii="Times New Roman" w:hAnsi="Times New Roman" w:cs="Times New Roman"/>
          <w:sz w:val="18"/>
          <w:szCs w:val="18"/>
        </w:rPr>
        <w:t>ата регистрации</w:t>
      </w:r>
      <w:r w:rsidR="004375D0" w:rsidRPr="00684D36">
        <w:rPr>
          <w:rFonts w:ascii="Times New Roman" w:hAnsi="Times New Roman" w:cs="Times New Roman"/>
          <w:bCs/>
          <w:sz w:val="28"/>
          <w:szCs w:val="28"/>
        </w:rPr>
        <w:t>] № [</w:t>
      </w:r>
      <w:r w:rsidR="004375D0">
        <w:rPr>
          <w:rFonts w:ascii="Times New Roman" w:hAnsi="Times New Roman" w:cs="Times New Roman"/>
          <w:bCs/>
          <w:sz w:val="18"/>
          <w:szCs w:val="18"/>
        </w:rPr>
        <w:t>Н</w:t>
      </w:r>
      <w:r w:rsidR="004375D0" w:rsidRPr="00684D36">
        <w:rPr>
          <w:rFonts w:ascii="Times New Roman" w:hAnsi="Times New Roman" w:cs="Times New Roman"/>
          <w:bCs/>
          <w:sz w:val="18"/>
          <w:szCs w:val="18"/>
        </w:rPr>
        <w:t>омер регистрации</w:t>
      </w:r>
      <w:r w:rsidR="004375D0" w:rsidRPr="00684D36">
        <w:rPr>
          <w:rFonts w:ascii="Times New Roman" w:hAnsi="Times New Roman" w:cs="Times New Roman"/>
          <w:bCs/>
          <w:sz w:val="28"/>
          <w:szCs w:val="28"/>
        </w:rPr>
        <w:t>]</w:t>
      </w:r>
    </w:p>
    <w:p w:rsidR="004375D0" w:rsidRDefault="004375D0" w:rsidP="00437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D0" w:rsidRDefault="004375D0" w:rsidP="004375D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75D0" w:rsidRDefault="004375D0" w:rsidP="004375D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375D0" w:rsidRDefault="004375D0" w:rsidP="004375D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375D0" w:rsidRPr="00684D36" w:rsidRDefault="004375D0" w:rsidP="004375D0">
      <w:pPr>
        <w:suppressAutoHyphens/>
        <w:adjustRightInd w:val="0"/>
        <w:spacing w:after="0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16.12.2021 </w:t>
      </w:r>
      <w:r w:rsidRPr="003271E5">
        <w:rPr>
          <w:rFonts w:ascii="Times New Roman" w:hAnsi="Times New Roman" w:cs="Times New Roman"/>
          <w:sz w:val="28"/>
          <w:szCs w:val="28"/>
        </w:rPr>
        <w:t>№ 549-П</w:t>
      </w:r>
    </w:p>
    <w:p w:rsidR="004375D0" w:rsidRPr="00684D36" w:rsidRDefault="004375D0" w:rsidP="004375D0">
      <w:pPr>
        <w:suppressAutoHyphens/>
        <w:adjustRightInd w:val="0"/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75D0" w:rsidRDefault="004375D0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5D0">
        <w:rPr>
          <w:rFonts w:ascii="Times New Roman" w:hAnsi="Times New Roman" w:cs="Times New Roman"/>
          <w:bCs/>
          <w:sz w:val="28"/>
          <w:szCs w:val="28"/>
        </w:rPr>
        <w:t>П</w:t>
      </w:r>
      <w:r w:rsidRPr="004375D0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4375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5D0" w:rsidRDefault="004375D0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направления </w:t>
      </w:r>
      <w:r w:rsidRPr="004375D0">
        <w:rPr>
          <w:rFonts w:ascii="Times New Roman" w:hAnsi="Times New Roman" w:cs="Times New Roman"/>
          <w:bCs/>
          <w:sz w:val="28"/>
          <w:szCs w:val="28"/>
        </w:rPr>
        <w:t>экономии средств, предоставленных из краевого бюджета, полученной по итогам определения поставщика (подрядчика, исполнителя) товаров (работ, услуг) для государственных нужд на увеличение объема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Резервного фонда Камчатского края</w:t>
      </w:r>
    </w:p>
    <w:p w:rsidR="004375D0" w:rsidRDefault="004375D0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5D0" w:rsidRDefault="004375D0" w:rsidP="0043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увеличения </w:t>
      </w:r>
      <w:r>
        <w:rPr>
          <w:rFonts w:ascii="Times New Roman" w:hAnsi="Times New Roman" w:cs="Times New Roman"/>
          <w:bCs/>
          <w:sz w:val="28"/>
          <w:szCs w:val="28"/>
        </w:rPr>
        <w:t>Резервного фонда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органы государственной власти Камчатского края, государственные казенные, бюджетные и автономные учреждения Камчатского края (далее - краевые государственные учреждения), осуществляющие закупки в соответствии с положениями Федерального </w:t>
      </w:r>
      <w:hyperlink r:id="rId9" w:history="1">
        <w:r w:rsidRPr="008E2EC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экономией средств, предоставленных из краевого бюджета, полученной по итогам определения поставщика (подрядчика, исполнителя) товаров (работ, услуг) для государственных нужд (далее - экономия средств по итогам определения поставщика), понимается остаток средств, полученный в результате определения поставщика (подрядчика, исполнителя) за счет разницы между начальной (максимальной) ценой контракта, начальной суммой цен единиц товара, работы, услуги и ценой заключенного контракта.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Краевые государственные учреждения в течение 2 рабочих дней с даты образования экономии средств по итогам определения поставщика уведомляют исполнительные органы государственной власти Камчатского края, осуществляющие функции и полномочия учредителей в отношении подведомственных краевых государственных учреждений,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 суммах экономии.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 xml:space="preserve">5. Органы государственной власти Камчатского края в течение 5 рабочих дней с даты получения уведомления о суммах экономии средств по итогам определения поставщика от подведомственных краевых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либо в течение 5 рабочих дней с даты образования экономии средств по итогам определения поставщика у органов государственной власти Камчатского края, в порядке установленном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75D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Камчатского края от 03.12.2015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в Министерство финансов Камчатского края документы для внесения изменений в показатели сводной бюджетной росписи краевого бюджета и лимитов бюджетных обязательств с приложением информации по </w:t>
      </w:r>
      <w:r w:rsidRPr="004375D0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Министерство финансов Камчатского края в течение 3 рабочих дней с даты поступления от органа государственной власти Камчатского края документов в соответствии с </w:t>
      </w:r>
      <w:r w:rsidRPr="004375D0">
        <w:rPr>
          <w:rFonts w:ascii="Times New Roman" w:hAnsi="Times New Roman" w:cs="Times New Roman"/>
          <w:sz w:val="28"/>
          <w:szCs w:val="28"/>
        </w:rPr>
        <w:t>частью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вносит изменения в сводную бюджетную роспись краевого бюджета и лимиты бюджетных обязательств, обеспечивая направление экономии средств по итогам определения поставщика на увеличение </w:t>
      </w:r>
      <w:r w:rsidR="00BC2A94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Резервного фонда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5D0" w:rsidRDefault="004375D0" w:rsidP="004375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Руководители органов государственной власти Камчатского края, краевых государственных учреждений несут персональную ответственность за несоблюдение настоящего Порядка.</w:t>
      </w:r>
    </w:p>
    <w:p w:rsidR="004375D0" w:rsidRDefault="004375D0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4375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направления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экономии средств, предоставленных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бюджета, полученной по итогам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(работ, услуг) для государственных нужд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объема Резервного фонда </w:t>
      </w:r>
    </w:p>
    <w:p w:rsidR="00BC2A94" w:rsidRDefault="00BC2A94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4440" w:rsidRDefault="00194440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440" w:rsidRDefault="00194440" w:rsidP="00BC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42"/>
        <w:gridCol w:w="992"/>
        <w:gridCol w:w="2183"/>
        <w:gridCol w:w="2098"/>
        <w:gridCol w:w="1729"/>
      </w:tblGrid>
      <w:tr w:rsidR="00194440" w:rsidRPr="00194440" w:rsidTr="00194440">
        <w:tc>
          <w:tcPr>
            <w:tcW w:w="704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п/н</w:t>
            </w:r>
          </w:p>
        </w:tc>
        <w:tc>
          <w:tcPr>
            <w:tcW w:w="1942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заказчика</w:t>
            </w:r>
          </w:p>
        </w:tc>
        <w:tc>
          <w:tcPr>
            <w:tcW w:w="992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ИКЗ</w:t>
            </w:r>
          </w:p>
        </w:tc>
        <w:tc>
          <w:tcPr>
            <w:tcW w:w="2183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(максимальная) цена контракта (руб.)</w:t>
            </w:r>
          </w:p>
        </w:tc>
        <w:tc>
          <w:tcPr>
            <w:tcW w:w="2098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заключенного контракта (руб.)</w:t>
            </w:r>
          </w:p>
        </w:tc>
        <w:tc>
          <w:tcPr>
            <w:tcW w:w="1729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(руб.)</w:t>
            </w:r>
          </w:p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6 = 4 - 5</w:t>
            </w:r>
          </w:p>
        </w:tc>
      </w:tr>
      <w:tr w:rsidR="00194440" w:rsidRPr="00194440" w:rsidTr="00C25A84">
        <w:trPr>
          <w:trHeight w:val="134"/>
        </w:trPr>
        <w:tc>
          <w:tcPr>
            <w:tcW w:w="704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3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29" w:type="dxa"/>
            <w:vAlign w:val="center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4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4440" w:rsidRPr="00194440" w:rsidTr="00194440">
        <w:tc>
          <w:tcPr>
            <w:tcW w:w="704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440" w:rsidRPr="00194440" w:rsidTr="00194440">
        <w:tc>
          <w:tcPr>
            <w:tcW w:w="704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440" w:rsidRPr="00194440" w:rsidTr="00194440">
        <w:tc>
          <w:tcPr>
            <w:tcW w:w="704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194440" w:rsidRPr="00194440" w:rsidRDefault="00194440" w:rsidP="00194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2A94" w:rsidRPr="004375D0" w:rsidRDefault="008E2ECA" w:rsidP="008E2E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sectPr w:rsidR="00BC2A94" w:rsidRPr="004375D0" w:rsidSect="00F64DA7">
      <w:headerReference w:type="default" r:id="rId10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60" w:rsidRDefault="00727260" w:rsidP="0031799B">
      <w:pPr>
        <w:spacing w:after="0" w:line="240" w:lineRule="auto"/>
      </w:pPr>
      <w:r>
        <w:separator/>
      </w:r>
    </w:p>
  </w:endnote>
  <w:endnote w:type="continuationSeparator" w:id="0">
    <w:p w:rsidR="00727260" w:rsidRDefault="007272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60" w:rsidRDefault="00727260" w:rsidP="0031799B">
      <w:pPr>
        <w:spacing w:after="0" w:line="240" w:lineRule="auto"/>
      </w:pPr>
      <w:r>
        <w:separator/>
      </w:r>
    </w:p>
  </w:footnote>
  <w:footnote w:type="continuationSeparator" w:id="0">
    <w:p w:rsidR="00727260" w:rsidRDefault="007272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518575"/>
      <w:docPartObj>
        <w:docPartGallery w:val="Page Numbers (Top of Page)"/>
        <w:docPartUnique/>
      </w:docPartObj>
    </w:sdtPr>
    <w:sdtEndPr/>
    <w:sdtContent>
      <w:p w:rsidR="00D9299F" w:rsidRDefault="00D929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9C">
          <w:rPr>
            <w:noProof/>
          </w:rPr>
          <w:t>3</w:t>
        </w:r>
        <w:r>
          <w:fldChar w:fldCharType="end"/>
        </w:r>
      </w:p>
    </w:sdtContent>
  </w:sdt>
  <w:p w:rsidR="00D9299F" w:rsidRDefault="00D929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E"/>
    <w:multiLevelType w:val="hybridMultilevel"/>
    <w:tmpl w:val="638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C9A"/>
    <w:multiLevelType w:val="hybridMultilevel"/>
    <w:tmpl w:val="85300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E60F3"/>
    <w:multiLevelType w:val="hybridMultilevel"/>
    <w:tmpl w:val="B7F855F2"/>
    <w:lvl w:ilvl="0" w:tplc="2716F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B777EB"/>
    <w:multiLevelType w:val="hybridMultilevel"/>
    <w:tmpl w:val="58C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445"/>
    <w:multiLevelType w:val="hybridMultilevel"/>
    <w:tmpl w:val="02E465C4"/>
    <w:lvl w:ilvl="0" w:tplc="798A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717E1"/>
    <w:multiLevelType w:val="hybridMultilevel"/>
    <w:tmpl w:val="8F3EDFD8"/>
    <w:lvl w:ilvl="0" w:tplc="798A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05EE"/>
    <w:multiLevelType w:val="hybridMultilevel"/>
    <w:tmpl w:val="AE1E3FE8"/>
    <w:lvl w:ilvl="0" w:tplc="223809C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28771A"/>
    <w:multiLevelType w:val="hybridMultilevel"/>
    <w:tmpl w:val="C652D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499"/>
    <w:multiLevelType w:val="hybridMultilevel"/>
    <w:tmpl w:val="E8AED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4A8A"/>
    <w:rsid w:val="00033533"/>
    <w:rsid w:val="00034352"/>
    <w:rsid w:val="00045111"/>
    <w:rsid w:val="00045304"/>
    <w:rsid w:val="00053869"/>
    <w:rsid w:val="00066C50"/>
    <w:rsid w:val="00074B42"/>
    <w:rsid w:val="00076132"/>
    <w:rsid w:val="00077162"/>
    <w:rsid w:val="00082619"/>
    <w:rsid w:val="0008327C"/>
    <w:rsid w:val="00095795"/>
    <w:rsid w:val="000B1239"/>
    <w:rsid w:val="000C7139"/>
    <w:rsid w:val="000D77E6"/>
    <w:rsid w:val="000E405E"/>
    <w:rsid w:val="000E53EF"/>
    <w:rsid w:val="001125EB"/>
    <w:rsid w:val="00112C1A"/>
    <w:rsid w:val="001208AF"/>
    <w:rsid w:val="001237A0"/>
    <w:rsid w:val="001254AE"/>
    <w:rsid w:val="00126EFA"/>
    <w:rsid w:val="00140E22"/>
    <w:rsid w:val="00151E63"/>
    <w:rsid w:val="00180140"/>
    <w:rsid w:val="00181702"/>
    <w:rsid w:val="00181A55"/>
    <w:rsid w:val="00187E73"/>
    <w:rsid w:val="00194440"/>
    <w:rsid w:val="001A0B11"/>
    <w:rsid w:val="001B191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457A"/>
    <w:rsid w:val="00295275"/>
    <w:rsid w:val="00295AC8"/>
    <w:rsid w:val="002C2B5A"/>
    <w:rsid w:val="002D5D0F"/>
    <w:rsid w:val="002E4E87"/>
    <w:rsid w:val="002F3844"/>
    <w:rsid w:val="0030022E"/>
    <w:rsid w:val="00313CF4"/>
    <w:rsid w:val="0031799B"/>
    <w:rsid w:val="003271E5"/>
    <w:rsid w:val="00327B6F"/>
    <w:rsid w:val="003435A1"/>
    <w:rsid w:val="003479D2"/>
    <w:rsid w:val="0035298E"/>
    <w:rsid w:val="00355663"/>
    <w:rsid w:val="0036771F"/>
    <w:rsid w:val="00374C3C"/>
    <w:rsid w:val="0038403D"/>
    <w:rsid w:val="00397C94"/>
    <w:rsid w:val="003B0709"/>
    <w:rsid w:val="003B52E1"/>
    <w:rsid w:val="003B55E1"/>
    <w:rsid w:val="003C30E0"/>
    <w:rsid w:val="003E0A26"/>
    <w:rsid w:val="004009CE"/>
    <w:rsid w:val="00414FC5"/>
    <w:rsid w:val="0043251D"/>
    <w:rsid w:val="004348C7"/>
    <w:rsid w:val="0043505F"/>
    <w:rsid w:val="004351FE"/>
    <w:rsid w:val="004375D0"/>
    <w:rsid w:val="004415AF"/>
    <w:rsid w:val="004440D5"/>
    <w:rsid w:val="004549E8"/>
    <w:rsid w:val="00464949"/>
    <w:rsid w:val="00466B97"/>
    <w:rsid w:val="00497DE1"/>
    <w:rsid w:val="004A20ED"/>
    <w:rsid w:val="004B221A"/>
    <w:rsid w:val="004C1C88"/>
    <w:rsid w:val="004C5682"/>
    <w:rsid w:val="004E00B2"/>
    <w:rsid w:val="004E554E"/>
    <w:rsid w:val="004E6A87"/>
    <w:rsid w:val="00503FC3"/>
    <w:rsid w:val="005271B3"/>
    <w:rsid w:val="0055107D"/>
    <w:rsid w:val="005578C9"/>
    <w:rsid w:val="00563B33"/>
    <w:rsid w:val="00570925"/>
    <w:rsid w:val="00576D34"/>
    <w:rsid w:val="005842CB"/>
    <w:rsid w:val="005846D7"/>
    <w:rsid w:val="005B0A03"/>
    <w:rsid w:val="005C54F4"/>
    <w:rsid w:val="005D2494"/>
    <w:rsid w:val="005F11A7"/>
    <w:rsid w:val="005F1F7D"/>
    <w:rsid w:val="006259B3"/>
    <w:rsid w:val="006271E6"/>
    <w:rsid w:val="00631037"/>
    <w:rsid w:val="00650CAB"/>
    <w:rsid w:val="00663D27"/>
    <w:rsid w:val="006664BC"/>
    <w:rsid w:val="00674E38"/>
    <w:rsid w:val="00681BFE"/>
    <w:rsid w:val="006944F9"/>
    <w:rsid w:val="0069601C"/>
    <w:rsid w:val="006A541B"/>
    <w:rsid w:val="006B115E"/>
    <w:rsid w:val="006E593A"/>
    <w:rsid w:val="006F5D44"/>
    <w:rsid w:val="0070579A"/>
    <w:rsid w:val="00720819"/>
    <w:rsid w:val="00725A0F"/>
    <w:rsid w:val="00727260"/>
    <w:rsid w:val="00737F65"/>
    <w:rsid w:val="0074156B"/>
    <w:rsid w:val="00744B7F"/>
    <w:rsid w:val="00796B9B"/>
    <w:rsid w:val="007A7843"/>
    <w:rsid w:val="007B1C0B"/>
    <w:rsid w:val="007B3851"/>
    <w:rsid w:val="007D746A"/>
    <w:rsid w:val="007D78A4"/>
    <w:rsid w:val="007E7ADA"/>
    <w:rsid w:val="007F0218"/>
    <w:rsid w:val="007F3D5B"/>
    <w:rsid w:val="007F739C"/>
    <w:rsid w:val="00812B9A"/>
    <w:rsid w:val="0085578D"/>
    <w:rsid w:val="00860C71"/>
    <w:rsid w:val="008708D4"/>
    <w:rsid w:val="00872E35"/>
    <w:rsid w:val="0089042F"/>
    <w:rsid w:val="00894735"/>
    <w:rsid w:val="008A4314"/>
    <w:rsid w:val="008B1995"/>
    <w:rsid w:val="008B262E"/>
    <w:rsid w:val="008B668F"/>
    <w:rsid w:val="008C0054"/>
    <w:rsid w:val="008D0854"/>
    <w:rsid w:val="008D4AE0"/>
    <w:rsid w:val="008D6646"/>
    <w:rsid w:val="008D7127"/>
    <w:rsid w:val="008E2ECA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6D29"/>
    <w:rsid w:val="00997969"/>
    <w:rsid w:val="009A213B"/>
    <w:rsid w:val="009A471F"/>
    <w:rsid w:val="009B7B3A"/>
    <w:rsid w:val="009C36E1"/>
    <w:rsid w:val="009F320C"/>
    <w:rsid w:val="00A43195"/>
    <w:rsid w:val="00A8227F"/>
    <w:rsid w:val="00A834AC"/>
    <w:rsid w:val="00A84370"/>
    <w:rsid w:val="00AB0F55"/>
    <w:rsid w:val="00AB3ECC"/>
    <w:rsid w:val="00AC46FC"/>
    <w:rsid w:val="00AC6E43"/>
    <w:rsid w:val="00AD3B60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2A4F"/>
    <w:rsid w:val="00B831E8"/>
    <w:rsid w:val="00B833C0"/>
    <w:rsid w:val="00BA6DC7"/>
    <w:rsid w:val="00BB478D"/>
    <w:rsid w:val="00BB5341"/>
    <w:rsid w:val="00BC2A94"/>
    <w:rsid w:val="00BC3131"/>
    <w:rsid w:val="00BD13FF"/>
    <w:rsid w:val="00BD32A9"/>
    <w:rsid w:val="00BE1E47"/>
    <w:rsid w:val="00BF3269"/>
    <w:rsid w:val="00C0003F"/>
    <w:rsid w:val="00C05F69"/>
    <w:rsid w:val="00C10611"/>
    <w:rsid w:val="00C22F2F"/>
    <w:rsid w:val="00C25A84"/>
    <w:rsid w:val="00C366DA"/>
    <w:rsid w:val="00C37B1E"/>
    <w:rsid w:val="00C442AB"/>
    <w:rsid w:val="00C502D0"/>
    <w:rsid w:val="00C5596B"/>
    <w:rsid w:val="00C73DCC"/>
    <w:rsid w:val="00C90D3D"/>
    <w:rsid w:val="00C943EF"/>
    <w:rsid w:val="00CB0344"/>
    <w:rsid w:val="00CB08DE"/>
    <w:rsid w:val="00CC5F4B"/>
    <w:rsid w:val="00D16B35"/>
    <w:rsid w:val="00D206A1"/>
    <w:rsid w:val="00D31705"/>
    <w:rsid w:val="00D330ED"/>
    <w:rsid w:val="00D37DF0"/>
    <w:rsid w:val="00D47CEF"/>
    <w:rsid w:val="00D50172"/>
    <w:rsid w:val="00D51DAE"/>
    <w:rsid w:val="00D745AE"/>
    <w:rsid w:val="00D82700"/>
    <w:rsid w:val="00D9299F"/>
    <w:rsid w:val="00DB2CAA"/>
    <w:rsid w:val="00DB346F"/>
    <w:rsid w:val="00DC189A"/>
    <w:rsid w:val="00DD3A94"/>
    <w:rsid w:val="00DE3A72"/>
    <w:rsid w:val="00DF3901"/>
    <w:rsid w:val="00DF3A35"/>
    <w:rsid w:val="00DF52BA"/>
    <w:rsid w:val="00E05881"/>
    <w:rsid w:val="00E05FC4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AF6"/>
    <w:rsid w:val="00EC2DBB"/>
    <w:rsid w:val="00EF524F"/>
    <w:rsid w:val="00F148B5"/>
    <w:rsid w:val="00F17064"/>
    <w:rsid w:val="00F21BB3"/>
    <w:rsid w:val="00F42F6B"/>
    <w:rsid w:val="00F46EC1"/>
    <w:rsid w:val="00F52709"/>
    <w:rsid w:val="00F63133"/>
    <w:rsid w:val="00F64DA7"/>
    <w:rsid w:val="00F81A81"/>
    <w:rsid w:val="00F90A07"/>
    <w:rsid w:val="00FA70DB"/>
    <w:rsid w:val="00FB47AC"/>
    <w:rsid w:val="00FE0846"/>
    <w:rsid w:val="00FE4AEE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4C5B9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1237A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2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2965-5CC1-42AC-875C-15C5D834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Гречушкина Юлия Алексеевна</cp:lastModifiedBy>
  <cp:revision>10</cp:revision>
  <cp:lastPrinted>2022-04-21T04:21:00Z</cp:lastPrinted>
  <dcterms:created xsi:type="dcterms:W3CDTF">2022-04-25T23:31:00Z</dcterms:created>
  <dcterms:modified xsi:type="dcterms:W3CDTF">2022-05-18T00:20:00Z</dcterms:modified>
</cp:coreProperties>
</file>