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930C40" w:rsidRPr="00B30E1E" w:rsidRDefault="0021438C" w:rsidP="000C6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E0963">
        <w:rPr>
          <w:rFonts w:ascii="Times New Roman" w:eastAsia="Calibri" w:hAnsi="Times New Roman" w:cs="Times New Roman"/>
          <w:sz w:val="28"/>
          <w:szCs w:val="28"/>
        </w:rPr>
        <w:t>в его следующим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кодом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0C6754" w:rsidRDefault="00860B25" w:rsidP="000C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A31F99">
        <w:rPr>
          <w:rFonts w:ascii="Times New Roman" w:hAnsi="Times New Roman" w:cs="Times New Roman"/>
          <w:sz w:val="28"/>
          <w:szCs w:val="28"/>
        </w:rPr>
        <w:t>2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 </w:t>
      </w:r>
      <w:r w:rsidR="00A31F99">
        <w:rPr>
          <w:rFonts w:ascii="Times New Roman" w:hAnsi="Times New Roman" w:cs="Times New Roman"/>
          <w:sz w:val="28"/>
          <w:szCs w:val="28"/>
        </w:rPr>
        <w:t>02</w:t>
      </w:r>
      <w:r w:rsidR="000C6754">
        <w:rPr>
          <w:rFonts w:ascii="Times New Roman" w:hAnsi="Times New Roman" w:cs="Times New Roman"/>
          <w:sz w:val="28"/>
          <w:szCs w:val="28"/>
        </w:rPr>
        <w:t xml:space="preserve"> </w:t>
      </w:r>
      <w:r w:rsidR="00A31F99">
        <w:rPr>
          <w:rFonts w:ascii="Times New Roman" w:hAnsi="Times New Roman" w:cs="Times New Roman"/>
          <w:sz w:val="28"/>
          <w:szCs w:val="28"/>
        </w:rPr>
        <w:t>49001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 02 </w:t>
      </w:r>
      <w:r w:rsidR="00A31F99">
        <w:rPr>
          <w:rFonts w:ascii="Times New Roman" w:hAnsi="Times New Roman" w:cs="Times New Roman"/>
          <w:sz w:val="28"/>
          <w:szCs w:val="28"/>
        </w:rPr>
        <w:t>0000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 1</w:t>
      </w:r>
      <w:r w:rsidR="00A31F99">
        <w:rPr>
          <w:rFonts w:ascii="Times New Roman" w:hAnsi="Times New Roman" w:cs="Times New Roman"/>
          <w:sz w:val="28"/>
          <w:szCs w:val="28"/>
        </w:rPr>
        <w:t>5</w:t>
      </w:r>
      <w:r w:rsidR="00A31F99" w:rsidRPr="009777B1">
        <w:rPr>
          <w:rFonts w:ascii="Times New Roman" w:hAnsi="Times New Roman" w:cs="Times New Roman"/>
          <w:sz w:val="28"/>
          <w:szCs w:val="28"/>
        </w:rPr>
        <w:t xml:space="preserve">0 </w:t>
      </w:r>
      <w:r w:rsidR="00A31F99" w:rsidRPr="00A31F99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A66D54">
        <w:rPr>
          <w:rFonts w:ascii="Times New Roman" w:hAnsi="Times New Roman" w:cs="Times New Roman"/>
          <w:sz w:val="28"/>
          <w:szCs w:val="28"/>
        </w:rPr>
        <w:t>;</w:t>
      </w:r>
    </w:p>
    <w:p w:rsidR="000C6754" w:rsidRDefault="000C6754" w:rsidP="000C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 18 02010 02 0000 150 Доходы бюджетов Российской Федерации от возврата бюджетными учреждениями остатков субсидии прошлых лет»</w:t>
      </w:r>
      <w:r w:rsidR="00A66D54">
        <w:rPr>
          <w:rFonts w:ascii="Times New Roman" w:hAnsi="Times New Roman" w:cs="Times New Roman"/>
          <w:sz w:val="28"/>
          <w:szCs w:val="28"/>
        </w:rPr>
        <w:t>;</w:t>
      </w:r>
    </w:p>
    <w:p w:rsidR="00930C40" w:rsidRPr="00B30E1E" w:rsidRDefault="000C6754" w:rsidP="000C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 18 02020 02 0000 150 Доходы бюджетов субъектов Российской Федерации от возврата автономными учреждениями остатков субсидий прошлых лет»</w:t>
      </w:r>
      <w:r w:rsidR="00B30E1E"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367A1E" w:rsidP="000C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доходов, указанных в части 1 настоящего приказа, считать 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A31F99" w:rsidRPr="00A31F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Камчатского края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A31F9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B30E1E" w:rsidP="000C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935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7B35-0F38-4CB6-9575-C2A38DA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6</cp:revision>
  <cp:lastPrinted>2021-12-23T21:48:00Z</cp:lastPrinted>
  <dcterms:created xsi:type="dcterms:W3CDTF">2022-05-11T22:52:00Z</dcterms:created>
  <dcterms:modified xsi:type="dcterms:W3CDTF">2022-05-13T02:56:00Z</dcterms:modified>
</cp:coreProperties>
</file>