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283"/>
        <w:gridCol w:w="992"/>
        <w:gridCol w:w="111"/>
        <w:gridCol w:w="5559"/>
      </w:tblGrid>
      <w:tr w:rsidR="00CD5207" w:rsidTr="003676D1">
        <w:trPr>
          <w:trHeight w:val="567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207" w:rsidRDefault="00372B08" w:rsidP="00D020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DEC366" wp14:editId="7AFAE044">
                  <wp:extent cx="493024" cy="6120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2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07" w:rsidTr="003676D1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207" w:rsidRPr="00D94E37" w:rsidRDefault="00CD5207" w:rsidP="00D94E37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>АГЕНТСТВО ЛЕСНОГО ХОЗЯЙСТВА КАМЧАТСКОГО КРАЯ</w:t>
            </w:r>
          </w:p>
          <w:p w:rsidR="00CD5207" w:rsidRPr="00930FC9" w:rsidRDefault="00CD5207" w:rsidP="009147AE">
            <w:pPr>
              <w:spacing w:before="80"/>
              <w:jc w:val="center"/>
              <w:rPr>
                <w:rFonts w:ascii="Times New Roman" w:hAnsi="Times New Roman" w:cs="Times New Roman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36"/>
                <w:lang w:eastAsia="ru-RU"/>
              </w:rPr>
              <w:t>ПРИКАЗ</w:t>
            </w:r>
          </w:p>
        </w:tc>
      </w:tr>
      <w:tr w:rsidR="006C314E" w:rsidTr="00EA439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1A6039" w:rsidRDefault="006C314E" w:rsidP="003A27AF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C314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4E" w:rsidRPr="001A6039" w:rsidRDefault="00EF7005" w:rsidP="00D94E37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C314E" w:rsidRPr="00233D01" w:rsidRDefault="006C314E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14E" w:rsidRPr="00AA3E82" w:rsidRDefault="006C314E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162000">
        <w:trPr>
          <w:cantSplit/>
          <w:trHeight w:hRule="exact" w:val="113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6C314E" w:rsidRDefault="00BC1CED" w:rsidP="001173BA">
            <w:pPr>
              <w:spacing w:before="4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1CED" w:rsidTr="007D6B2D">
        <w:trPr>
          <w:trHeight w:val="151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BC1CED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00">
              <w:rPr>
                <w:rFonts w:ascii="Times New Roman" w:hAnsi="Times New Roman" w:cs="Times New Roman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BC1CED" w:rsidRPr="00233D01" w:rsidRDefault="00BC1CED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CED" w:rsidRPr="00AA3E82" w:rsidRDefault="00BC1CED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32D7" w:rsidTr="00E85860">
        <w:trPr>
          <w:trHeight w:val="1556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rPr>
                <w:rFonts w:ascii="Times New Roman" w:hAnsi="Times New Roman" w:cs="Times New Roman"/>
                <w:sz w:val="28"/>
              </w:rPr>
            </w:pPr>
          </w:p>
          <w:p w:rsidR="006E32D7" w:rsidRPr="008C0032" w:rsidRDefault="008C0032" w:rsidP="00F965C2">
            <w:pPr>
              <w:tabs>
                <w:tab w:val="center" w:pos="4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2">
              <w:rPr>
                <w:rFonts w:ascii="Times New Roman" w:hAnsi="Times New Roman" w:cs="Times New Roman"/>
                <w:sz w:val="28"/>
                <w:szCs w:val="28"/>
              </w:rPr>
              <w:t>Об утверждении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чня должностных лиц краевого государственного казенного учреждения «Камчатские лесничества»</w:t>
            </w:r>
            <w:r w:rsidRPr="008C0032">
              <w:rPr>
                <w:rFonts w:ascii="Times New Roman" w:hAnsi="Times New Roman" w:cs="Times New Roman"/>
                <w:sz w:val="28"/>
                <w:szCs w:val="28"/>
              </w:rPr>
              <w:t>, уполномоченных на осуществление федерального государственного лесного контроля (надзора) на землях лесного фонда, расположенных на территории Камчатского края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1C0F19" w:rsidRDefault="001C0F19" w:rsidP="000F1F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32D7" w:rsidRPr="00CE3346" w:rsidRDefault="006E32D7" w:rsidP="000F1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6295" w:rsidRPr="00217079" w:rsidRDefault="004C6295" w:rsidP="00217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C2" w:rsidRDefault="00F965C2" w:rsidP="00AE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7079" w:rsidRPr="00217079" w:rsidRDefault="00D11C41" w:rsidP="00D11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C41">
        <w:rPr>
          <w:rFonts w:ascii="Times New Roman" w:hAnsi="Times New Roman" w:cs="Times New Roman"/>
          <w:sz w:val="28"/>
          <w:szCs w:val="28"/>
        </w:rPr>
        <w:t>В соответствии со статьями 83, 96 и 98</w:t>
      </w:r>
      <w:r w:rsidRPr="00D11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1C41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пунктом 5 постановления</w:t>
      </w:r>
      <w:r w:rsidRPr="00D11C4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C41">
        <w:rPr>
          <w:rFonts w:ascii="Times New Roman" w:hAnsi="Times New Roman" w:cs="Times New Roman"/>
          <w:sz w:val="28"/>
          <w:szCs w:val="28"/>
        </w:rPr>
        <w:t>от 30.06.2021 № 1098 «О федеральном государственном лесном контроле (надзоре)»</w:t>
      </w:r>
      <w:r>
        <w:rPr>
          <w:rFonts w:ascii="Times New Roman" w:hAnsi="Times New Roman" w:cs="Times New Roman"/>
          <w:sz w:val="28"/>
          <w:szCs w:val="28"/>
        </w:rPr>
        <w:t>, Положением об Агентстве лесного хозяйства Камчатского края, утвержденного п</w:t>
      </w:r>
      <w:r w:rsidR="00AE348D" w:rsidRPr="00F965C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Камчатского края от 28.04.2011 </w:t>
      </w:r>
      <w:r w:rsidR="00BC4675">
        <w:rPr>
          <w:rFonts w:ascii="Times New Roman" w:hAnsi="Times New Roman" w:cs="Times New Roman"/>
          <w:sz w:val="28"/>
          <w:szCs w:val="28"/>
        </w:rPr>
        <w:t>№</w:t>
      </w:r>
      <w:r w:rsidR="00AE348D" w:rsidRPr="00F965C2">
        <w:rPr>
          <w:rFonts w:ascii="Times New Roman" w:hAnsi="Times New Roman" w:cs="Times New Roman"/>
          <w:sz w:val="28"/>
          <w:szCs w:val="28"/>
        </w:rPr>
        <w:t xml:space="preserve"> 165-П</w:t>
      </w:r>
      <w:r w:rsidR="00A94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79" w:rsidRPr="00217079" w:rsidRDefault="00217079" w:rsidP="00B971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079" w:rsidRPr="00217079" w:rsidRDefault="00217079" w:rsidP="00B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79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217079" w:rsidRPr="00217079" w:rsidRDefault="00217079" w:rsidP="00B97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42A" w:rsidRDefault="00884CBF" w:rsidP="00BC4675">
      <w:pPr>
        <w:tabs>
          <w:tab w:val="center" w:pos="4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9142A" w:rsidRPr="0049142A">
        <w:rPr>
          <w:rFonts w:ascii="Times New Roman" w:hAnsi="Times New Roman" w:cs="Times New Roman"/>
          <w:sz w:val="28"/>
          <w:szCs w:val="28"/>
        </w:rPr>
        <w:t>Утвердить Переч</w:t>
      </w:r>
      <w:r w:rsidR="0049142A">
        <w:rPr>
          <w:rFonts w:ascii="Times New Roman" w:hAnsi="Times New Roman" w:cs="Times New Roman"/>
          <w:sz w:val="28"/>
          <w:szCs w:val="28"/>
        </w:rPr>
        <w:t>ень должностных лиц краевого государственного казенного учреждения «Камчатские лесничества»</w:t>
      </w:r>
      <w:r w:rsidR="0049142A" w:rsidRPr="0049142A">
        <w:rPr>
          <w:rFonts w:ascii="Times New Roman" w:hAnsi="Times New Roman" w:cs="Times New Roman"/>
          <w:sz w:val="28"/>
          <w:szCs w:val="28"/>
        </w:rPr>
        <w:t>, уполномоченных на осуществление федерального государственного лесного контроля (надзора) на землях лесного фонда, расположенных на территории Камчатского края, согласно приложению.</w:t>
      </w:r>
    </w:p>
    <w:p w:rsidR="0049142A" w:rsidRDefault="0049142A" w:rsidP="00BC4675">
      <w:pPr>
        <w:tabs>
          <w:tab w:val="center" w:pos="4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</w:t>
      </w:r>
      <w:r w:rsidRPr="0049142A">
        <w:rPr>
          <w:rFonts w:ascii="Times New Roman" w:hAnsi="Times New Roman" w:cs="Times New Roman"/>
          <w:sz w:val="28"/>
          <w:szCs w:val="28"/>
        </w:rPr>
        <w:t xml:space="preserve">, что лесная охрана на территории Камчатского края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учреждения «Камчатские лесничества»</w:t>
      </w:r>
      <w:r w:rsidRPr="0049142A">
        <w:rPr>
          <w:rFonts w:ascii="Times New Roman" w:hAnsi="Times New Roman" w:cs="Times New Roman"/>
          <w:sz w:val="28"/>
          <w:szCs w:val="28"/>
        </w:rPr>
        <w:t>, осуществляющими федеральный государственный лесной контроль (надзор) на землях лесного фонда, расположенных на территории Камчатского края, указанными в Перечне должностных лиц, определенном ч</w:t>
      </w:r>
      <w:r>
        <w:rPr>
          <w:rFonts w:ascii="Times New Roman" w:hAnsi="Times New Roman" w:cs="Times New Roman"/>
          <w:sz w:val="28"/>
          <w:szCs w:val="28"/>
        </w:rPr>
        <w:t>астью 1 настоящего приказа</w:t>
      </w:r>
      <w:r w:rsidRPr="0049142A">
        <w:rPr>
          <w:rFonts w:ascii="Times New Roman" w:hAnsi="Times New Roman" w:cs="Times New Roman"/>
          <w:sz w:val="28"/>
          <w:szCs w:val="28"/>
        </w:rPr>
        <w:t>.</w:t>
      </w:r>
    </w:p>
    <w:p w:rsidR="00DA48B7" w:rsidRDefault="0049142A" w:rsidP="00DA48B7">
      <w:pPr>
        <w:tabs>
          <w:tab w:val="center" w:pos="4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Признать утратившей силу часть 1 приказа Агентства лесного хозяйства Камчатского края от 18.11.2020 № 802-пр </w:t>
      </w:r>
      <w:r w:rsidRPr="0049142A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Агентства лесного хозяйства Камчатского края и краевого государственного казенного учреждения «Камчат</w:t>
      </w:r>
      <w:r>
        <w:rPr>
          <w:rFonts w:ascii="Times New Roman" w:hAnsi="Times New Roman" w:cs="Times New Roman"/>
          <w:sz w:val="28"/>
          <w:szCs w:val="28"/>
        </w:rPr>
        <w:t>ские лесничества», осуществляющих федеральный государ</w:t>
      </w:r>
      <w:r w:rsidRPr="0049142A">
        <w:rPr>
          <w:rFonts w:ascii="Times New Roman" w:hAnsi="Times New Roman" w:cs="Times New Roman"/>
          <w:sz w:val="28"/>
          <w:szCs w:val="28"/>
        </w:rPr>
        <w:t xml:space="preserve">ственный лесной надзор (лесную охрану) </w:t>
      </w:r>
      <w:r w:rsidRPr="0049142A">
        <w:rPr>
          <w:rFonts w:ascii="Times New Roman" w:hAnsi="Times New Roman" w:cs="Times New Roman"/>
          <w:sz w:val="28"/>
          <w:szCs w:val="28"/>
        </w:rPr>
        <w:lastRenderedPageBreak/>
        <w:t>в лесах, расположенных на землях лесного фонда на территории Камчатского края, з</w:t>
      </w:r>
      <w:r>
        <w:rPr>
          <w:rFonts w:ascii="Times New Roman" w:hAnsi="Times New Roman" w:cs="Times New Roman"/>
          <w:sz w:val="28"/>
          <w:szCs w:val="28"/>
        </w:rPr>
        <w:t>а исключением лесов, расположен</w:t>
      </w:r>
      <w:r w:rsidRPr="0049142A">
        <w:rPr>
          <w:rFonts w:ascii="Times New Roman" w:hAnsi="Times New Roman" w:cs="Times New Roman"/>
          <w:sz w:val="28"/>
          <w:szCs w:val="28"/>
        </w:rPr>
        <w:t>ных на землях обороны и безопасности, землях осо</w:t>
      </w:r>
      <w:r>
        <w:rPr>
          <w:rFonts w:ascii="Times New Roman" w:hAnsi="Times New Roman" w:cs="Times New Roman"/>
          <w:sz w:val="28"/>
          <w:szCs w:val="28"/>
        </w:rPr>
        <w:t>бо охраняемых природных террито</w:t>
      </w:r>
      <w:r w:rsidRPr="0049142A">
        <w:rPr>
          <w:rFonts w:ascii="Times New Roman" w:hAnsi="Times New Roman" w:cs="Times New Roman"/>
          <w:sz w:val="28"/>
          <w:szCs w:val="28"/>
        </w:rPr>
        <w:t>рий федерального значения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1FD0" w:rsidRDefault="00DA48B7" w:rsidP="00DA48B7">
      <w:pPr>
        <w:tabs>
          <w:tab w:val="center" w:pos="4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67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DA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DA48B7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 и распространяется на правоотношения, возникшие с 17 января 2022 года.</w:t>
      </w:r>
    </w:p>
    <w:p w:rsidR="00217079" w:rsidRPr="00217079" w:rsidRDefault="00217079" w:rsidP="00D9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079" w:rsidRDefault="00217079" w:rsidP="00217079">
      <w:pPr>
        <w:pStyle w:val="ac"/>
        <w:ind w:firstLine="0"/>
        <w:rPr>
          <w:szCs w:val="28"/>
        </w:rPr>
      </w:pPr>
    </w:p>
    <w:p w:rsidR="0098181D" w:rsidRPr="00217079" w:rsidRDefault="0098181D" w:rsidP="00217079">
      <w:pPr>
        <w:pStyle w:val="ac"/>
        <w:ind w:firstLine="0"/>
        <w:rPr>
          <w:szCs w:val="28"/>
        </w:rPr>
      </w:pPr>
    </w:p>
    <w:p w:rsidR="00286D71" w:rsidRDefault="00DA48B7" w:rsidP="0021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17079" w:rsidRPr="00217079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217079" w:rsidRPr="00217079">
        <w:rPr>
          <w:rFonts w:ascii="Times New Roman" w:hAnsi="Times New Roman" w:cs="Times New Roman"/>
          <w:sz w:val="28"/>
          <w:szCs w:val="28"/>
        </w:rPr>
        <w:tab/>
      </w:r>
      <w:r w:rsidR="00217079" w:rsidRPr="00217079">
        <w:rPr>
          <w:rFonts w:ascii="Times New Roman" w:hAnsi="Times New Roman" w:cs="Times New Roman"/>
          <w:sz w:val="28"/>
          <w:szCs w:val="28"/>
        </w:rPr>
        <w:tab/>
      </w:r>
      <w:r w:rsidR="00217079" w:rsidRPr="00217079">
        <w:rPr>
          <w:rFonts w:ascii="Times New Roman" w:hAnsi="Times New Roman" w:cs="Times New Roman"/>
          <w:sz w:val="28"/>
          <w:szCs w:val="28"/>
        </w:rPr>
        <w:tab/>
      </w:r>
      <w:r w:rsidR="00EA3227">
        <w:rPr>
          <w:rFonts w:ascii="Times New Roman" w:hAnsi="Times New Roman" w:cs="Times New Roman"/>
          <w:sz w:val="28"/>
          <w:szCs w:val="28"/>
        </w:rPr>
        <w:tab/>
      </w:r>
      <w:r w:rsidR="00EA3227">
        <w:rPr>
          <w:rFonts w:ascii="Times New Roman" w:hAnsi="Times New Roman" w:cs="Times New Roman"/>
          <w:sz w:val="28"/>
          <w:szCs w:val="28"/>
        </w:rPr>
        <w:tab/>
      </w:r>
      <w:r w:rsidR="00EA322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Д.Б. Щипицын</w:t>
      </w: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rPr>
          <w:rFonts w:ascii="Times New Roman" w:hAnsi="Times New Roman" w:cs="Times New Roman"/>
          <w:sz w:val="28"/>
          <w:szCs w:val="28"/>
        </w:rPr>
      </w:pPr>
    </w:p>
    <w:p w:rsidR="00381FD0" w:rsidRDefault="00381FD0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381FD0">
      <w:pPr>
        <w:rPr>
          <w:rFonts w:ascii="Times New Roman" w:hAnsi="Times New Roman" w:cs="Times New Roman"/>
          <w:sz w:val="28"/>
          <w:szCs w:val="28"/>
        </w:rPr>
      </w:pPr>
    </w:p>
    <w:p w:rsidR="00DA48B7" w:rsidRDefault="00DA48B7" w:rsidP="00B6762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83087" w:rsidRDefault="00F83087" w:rsidP="00B6762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8308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F83087" w:rsidRDefault="00F83087" w:rsidP="00B6762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Агентства лесного</w:t>
      </w:r>
    </w:p>
    <w:p w:rsidR="00F83087" w:rsidRDefault="00F83087" w:rsidP="00B6762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</w:t>
      </w:r>
      <w:r w:rsidR="00B6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B6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381FD0" w:rsidRDefault="00F83087" w:rsidP="00B6762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48B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A48B7">
        <w:rPr>
          <w:rFonts w:ascii="Times New Roman" w:hAnsi="Times New Roman" w:cs="Times New Roman"/>
          <w:sz w:val="28"/>
          <w:szCs w:val="28"/>
        </w:rPr>
        <w:t>___</w:t>
      </w:r>
      <w:r w:rsidR="00A77457">
        <w:rPr>
          <w:rFonts w:ascii="Times New Roman" w:hAnsi="Times New Roman" w:cs="Times New Roman"/>
          <w:sz w:val="28"/>
          <w:szCs w:val="28"/>
        </w:rPr>
        <w:t>-пр</w:t>
      </w:r>
    </w:p>
    <w:p w:rsidR="00B67627" w:rsidRDefault="00B67627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627" w:rsidRDefault="00DA48B7" w:rsidP="00DA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8B7">
        <w:rPr>
          <w:rFonts w:ascii="Times New Roman" w:hAnsi="Times New Roman" w:cs="Times New Roman"/>
          <w:sz w:val="28"/>
          <w:szCs w:val="28"/>
        </w:rPr>
        <w:t>Перечень должностных лиц краевого государственного казенного учреждения «Камчатские лесничества», уполномоченных на осуществление федерального государственного лесного контроля (надзора) на землях лесного фонда, расположенных на территории Камчатского края</w:t>
      </w:r>
    </w:p>
    <w:p w:rsidR="00B67627" w:rsidRDefault="00B67627" w:rsidP="00D7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0B1" w:rsidRDefault="008A50B1" w:rsidP="00DA48B7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 руководитель </w:t>
      </w:r>
      <w:r w:rsidR="00DA48B7" w:rsidRPr="00DA48B7">
        <w:rPr>
          <w:rFonts w:ascii="Times New Roman" w:hAnsi="Times New Roman"/>
          <w:b w:val="0"/>
          <w:sz w:val="28"/>
          <w:szCs w:val="28"/>
        </w:rPr>
        <w:t>государственного казенного учреждения «Камчатские лесничества»</w:t>
      </w:r>
      <w:r w:rsidR="00DA48B7">
        <w:rPr>
          <w:rFonts w:ascii="Times New Roman" w:hAnsi="Times New Roman"/>
          <w:b w:val="0"/>
          <w:sz w:val="28"/>
          <w:szCs w:val="28"/>
        </w:rPr>
        <w:t xml:space="preserve"> (далее – Учреждение)</w:t>
      </w:r>
      <w:r>
        <w:rPr>
          <w:rFonts w:ascii="Times New Roman" w:hAnsi="Times New Roman"/>
          <w:b w:val="0"/>
          <w:sz w:val="28"/>
          <w:szCs w:val="28"/>
        </w:rPr>
        <w:t xml:space="preserve"> – главный лесничий</w:t>
      </w:r>
      <w:r w:rsidR="00DA48B7">
        <w:rPr>
          <w:rFonts w:ascii="Times New Roman" w:hAnsi="Times New Roman"/>
          <w:b w:val="0"/>
          <w:sz w:val="28"/>
          <w:szCs w:val="28"/>
        </w:rPr>
        <w:t xml:space="preserve"> – государственный лесной инспектор Камчатского края;</w:t>
      </w:r>
    </w:p>
    <w:p w:rsidR="008A50B1" w:rsidRDefault="008A50B1" w:rsidP="00DA48B7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 заместитель руководителя Учреждения – заместитель главного лесничего</w:t>
      </w:r>
      <w:r w:rsidR="00DA48B7">
        <w:rPr>
          <w:rFonts w:ascii="Times New Roman" w:hAnsi="Times New Roman"/>
          <w:b w:val="0"/>
          <w:sz w:val="28"/>
          <w:szCs w:val="28"/>
        </w:rPr>
        <w:t xml:space="preserve"> – </w:t>
      </w:r>
      <w:r w:rsidR="00DA48B7" w:rsidRPr="00DA48B7">
        <w:rPr>
          <w:rFonts w:ascii="Times New Roman" w:hAnsi="Times New Roman"/>
          <w:b w:val="0"/>
          <w:sz w:val="28"/>
          <w:szCs w:val="28"/>
        </w:rPr>
        <w:t>государственный лесной инспектор Камчатского края;</w:t>
      </w:r>
    </w:p>
    <w:p w:rsidR="008A50B1" w:rsidRDefault="008A50B1" w:rsidP="00DA48B7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 начальник филиала Учреждения – лесничий</w:t>
      </w:r>
      <w:r w:rsidR="00DA48B7">
        <w:rPr>
          <w:rFonts w:ascii="Times New Roman" w:hAnsi="Times New Roman"/>
          <w:b w:val="0"/>
          <w:sz w:val="28"/>
          <w:szCs w:val="28"/>
        </w:rPr>
        <w:t xml:space="preserve"> – </w:t>
      </w:r>
      <w:r w:rsidR="00DA48B7" w:rsidRPr="00DA48B7">
        <w:rPr>
          <w:rFonts w:ascii="Times New Roman" w:hAnsi="Times New Roman"/>
          <w:b w:val="0"/>
          <w:sz w:val="28"/>
          <w:szCs w:val="28"/>
        </w:rPr>
        <w:t>государственный лесной инспектор Камчатского края;</w:t>
      </w:r>
    </w:p>
    <w:p w:rsidR="008A50B1" w:rsidRDefault="008A50B1" w:rsidP="00DA48B7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 помощник лесничего филиала Учреждения</w:t>
      </w:r>
      <w:r w:rsidR="00DA48B7">
        <w:rPr>
          <w:rFonts w:ascii="Times New Roman" w:hAnsi="Times New Roman"/>
          <w:b w:val="0"/>
          <w:sz w:val="28"/>
          <w:szCs w:val="28"/>
        </w:rPr>
        <w:t xml:space="preserve"> – </w:t>
      </w:r>
      <w:r w:rsidR="00DA48B7" w:rsidRPr="00DA48B7">
        <w:rPr>
          <w:rFonts w:ascii="Times New Roman" w:hAnsi="Times New Roman"/>
          <w:b w:val="0"/>
          <w:sz w:val="28"/>
          <w:szCs w:val="28"/>
        </w:rPr>
        <w:t>государственный лесной инспектор Камчатского края;</w:t>
      </w:r>
    </w:p>
    <w:p w:rsidR="008A50B1" w:rsidRPr="00701E98" w:rsidRDefault="008A50B1" w:rsidP="00701E98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01E98">
        <w:rPr>
          <w:rFonts w:ascii="Times New Roman" w:hAnsi="Times New Roman"/>
          <w:b w:val="0"/>
          <w:sz w:val="28"/>
          <w:szCs w:val="28"/>
        </w:rPr>
        <w:t>5) инженер по охране леса филиала Учреждения</w:t>
      </w:r>
      <w:r w:rsidR="00DA48B7" w:rsidRPr="00701E98">
        <w:rPr>
          <w:rFonts w:ascii="Times New Roman" w:hAnsi="Times New Roman"/>
          <w:b w:val="0"/>
          <w:sz w:val="28"/>
          <w:szCs w:val="28"/>
        </w:rPr>
        <w:t xml:space="preserve"> </w:t>
      </w:r>
      <w:r w:rsidR="00701E98" w:rsidRPr="00701E98">
        <w:rPr>
          <w:rFonts w:ascii="Times New Roman" w:hAnsi="Times New Roman"/>
          <w:b w:val="0"/>
          <w:sz w:val="28"/>
          <w:szCs w:val="28"/>
        </w:rPr>
        <w:t>–</w:t>
      </w:r>
      <w:r w:rsidR="00DA48B7" w:rsidRPr="00701E98">
        <w:rPr>
          <w:rFonts w:ascii="Times New Roman" w:hAnsi="Times New Roman"/>
          <w:b w:val="0"/>
          <w:sz w:val="28"/>
          <w:szCs w:val="28"/>
        </w:rPr>
        <w:t xml:space="preserve"> </w:t>
      </w:r>
      <w:r w:rsidR="00701E98" w:rsidRPr="00701E98">
        <w:rPr>
          <w:rFonts w:ascii="Times New Roman" w:hAnsi="Times New Roman"/>
          <w:b w:val="0"/>
          <w:sz w:val="28"/>
          <w:szCs w:val="28"/>
        </w:rPr>
        <w:t>государственный лесной инспектор Камчатского края;</w:t>
      </w:r>
    </w:p>
    <w:p w:rsidR="008A50B1" w:rsidRDefault="008A50B1" w:rsidP="00701E98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 руководитель участкового лесничества филиала Учреждения – участковый лесничий</w:t>
      </w:r>
      <w:r w:rsidR="00701E98">
        <w:rPr>
          <w:rFonts w:ascii="Times New Roman" w:hAnsi="Times New Roman"/>
          <w:b w:val="0"/>
          <w:sz w:val="28"/>
          <w:szCs w:val="28"/>
        </w:rPr>
        <w:t xml:space="preserve"> – </w:t>
      </w:r>
      <w:r w:rsidR="00701E98" w:rsidRPr="00701E98">
        <w:rPr>
          <w:rFonts w:ascii="Times New Roman" w:hAnsi="Times New Roman"/>
          <w:b w:val="0"/>
          <w:sz w:val="28"/>
          <w:szCs w:val="28"/>
        </w:rPr>
        <w:t>государственный лесной инспектор Камчатского края;</w:t>
      </w:r>
    </w:p>
    <w:p w:rsidR="00701E98" w:rsidRDefault="008A50B1" w:rsidP="008A50B1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7) заместитель руководителя участкового лесничества филиала Учреждения – помощник участкового лесничего</w:t>
      </w:r>
      <w:r w:rsidR="00701E98">
        <w:rPr>
          <w:rFonts w:ascii="Times New Roman" w:hAnsi="Times New Roman"/>
          <w:b w:val="0"/>
          <w:sz w:val="28"/>
          <w:szCs w:val="28"/>
        </w:rPr>
        <w:t xml:space="preserve"> – </w:t>
      </w:r>
      <w:r w:rsidR="00701E98" w:rsidRPr="00701E98">
        <w:rPr>
          <w:rFonts w:ascii="Times New Roman" w:hAnsi="Times New Roman"/>
          <w:b w:val="0"/>
          <w:sz w:val="28"/>
          <w:szCs w:val="28"/>
        </w:rPr>
        <w:t>государственный ле</w:t>
      </w:r>
      <w:r w:rsidR="00701E98">
        <w:rPr>
          <w:rFonts w:ascii="Times New Roman" w:hAnsi="Times New Roman"/>
          <w:b w:val="0"/>
          <w:sz w:val="28"/>
          <w:szCs w:val="28"/>
        </w:rPr>
        <w:t>сной инспектор Камчатского края.</w:t>
      </w:r>
      <w:bookmarkStart w:id="0" w:name="_GoBack"/>
      <w:bookmarkEnd w:id="0"/>
    </w:p>
    <w:p w:rsidR="008A50B1" w:rsidRDefault="008A50B1" w:rsidP="008A50B1">
      <w:pPr>
        <w:pStyle w:val="ConsPlusTitle"/>
        <w:widowControl/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A50B1" w:rsidRDefault="008A50B1" w:rsidP="00AC0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511" w:rsidRDefault="00D73511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511" w:rsidRPr="00F83087" w:rsidRDefault="00D73511" w:rsidP="0038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511" w:rsidRPr="00F83087" w:rsidSect="00790F45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A1" w:rsidRDefault="00581FA1" w:rsidP="00895E81">
      <w:pPr>
        <w:spacing w:after="0" w:line="240" w:lineRule="auto"/>
      </w:pPr>
      <w:r>
        <w:separator/>
      </w:r>
    </w:p>
  </w:endnote>
  <w:endnote w:type="continuationSeparator" w:id="0">
    <w:p w:rsidR="00581FA1" w:rsidRDefault="00581FA1" w:rsidP="0089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A1" w:rsidRDefault="00581FA1" w:rsidP="00895E81">
      <w:pPr>
        <w:spacing w:after="0" w:line="240" w:lineRule="auto"/>
      </w:pPr>
      <w:r>
        <w:separator/>
      </w:r>
    </w:p>
  </w:footnote>
  <w:footnote w:type="continuationSeparator" w:id="0">
    <w:p w:rsidR="00581FA1" w:rsidRDefault="00581FA1" w:rsidP="0089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1" w:rsidRDefault="00895E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D"/>
    <w:rsid w:val="00012794"/>
    <w:rsid w:val="000316E0"/>
    <w:rsid w:val="00040057"/>
    <w:rsid w:val="0004103D"/>
    <w:rsid w:val="0004551B"/>
    <w:rsid w:val="000467FA"/>
    <w:rsid w:val="00066C4B"/>
    <w:rsid w:val="00085828"/>
    <w:rsid w:val="000B134D"/>
    <w:rsid w:val="000B4826"/>
    <w:rsid w:val="000F1FD6"/>
    <w:rsid w:val="000F55C9"/>
    <w:rsid w:val="00100CE4"/>
    <w:rsid w:val="0011594B"/>
    <w:rsid w:val="00115EB0"/>
    <w:rsid w:val="001173BA"/>
    <w:rsid w:val="00124F1A"/>
    <w:rsid w:val="00126C7D"/>
    <w:rsid w:val="00131D60"/>
    <w:rsid w:val="001414E4"/>
    <w:rsid w:val="00162000"/>
    <w:rsid w:val="00187B18"/>
    <w:rsid w:val="001A6039"/>
    <w:rsid w:val="001C0F19"/>
    <w:rsid w:val="001C64E9"/>
    <w:rsid w:val="0020479A"/>
    <w:rsid w:val="00204F3C"/>
    <w:rsid w:val="0021493D"/>
    <w:rsid w:val="00217079"/>
    <w:rsid w:val="0022306D"/>
    <w:rsid w:val="00230417"/>
    <w:rsid w:val="00233830"/>
    <w:rsid w:val="00233D01"/>
    <w:rsid w:val="00262482"/>
    <w:rsid w:val="002718B9"/>
    <w:rsid w:val="00272419"/>
    <w:rsid w:val="00286D71"/>
    <w:rsid w:val="00296D48"/>
    <w:rsid w:val="002B1F6D"/>
    <w:rsid w:val="002B2FE2"/>
    <w:rsid w:val="002B533B"/>
    <w:rsid w:val="002F0AF9"/>
    <w:rsid w:val="00307B9A"/>
    <w:rsid w:val="00332B15"/>
    <w:rsid w:val="00335693"/>
    <w:rsid w:val="00337A31"/>
    <w:rsid w:val="00340589"/>
    <w:rsid w:val="00342538"/>
    <w:rsid w:val="0035703D"/>
    <w:rsid w:val="00360078"/>
    <w:rsid w:val="003676D1"/>
    <w:rsid w:val="003729DC"/>
    <w:rsid w:val="00372B08"/>
    <w:rsid w:val="00381FD0"/>
    <w:rsid w:val="003A27AF"/>
    <w:rsid w:val="003F502F"/>
    <w:rsid w:val="004027E5"/>
    <w:rsid w:val="00413695"/>
    <w:rsid w:val="00414B0A"/>
    <w:rsid w:val="00415C01"/>
    <w:rsid w:val="00427579"/>
    <w:rsid w:val="00435E98"/>
    <w:rsid w:val="00450978"/>
    <w:rsid w:val="00475158"/>
    <w:rsid w:val="0049142A"/>
    <w:rsid w:val="004C4C33"/>
    <w:rsid w:val="004C6295"/>
    <w:rsid w:val="004D0BAA"/>
    <w:rsid w:val="004D119D"/>
    <w:rsid w:val="004F5A65"/>
    <w:rsid w:val="00515164"/>
    <w:rsid w:val="005340E3"/>
    <w:rsid w:val="00547380"/>
    <w:rsid w:val="005718C0"/>
    <w:rsid w:val="00576050"/>
    <w:rsid w:val="00581FA1"/>
    <w:rsid w:val="00595EDB"/>
    <w:rsid w:val="00597FBE"/>
    <w:rsid w:val="005B2519"/>
    <w:rsid w:val="005F3A6E"/>
    <w:rsid w:val="0060211C"/>
    <w:rsid w:val="00607FD7"/>
    <w:rsid w:val="00611E4C"/>
    <w:rsid w:val="006859A7"/>
    <w:rsid w:val="006936DB"/>
    <w:rsid w:val="006A21AD"/>
    <w:rsid w:val="006C19CA"/>
    <w:rsid w:val="006C314E"/>
    <w:rsid w:val="006E00EA"/>
    <w:rsid w:val="006E32D7"/>
    <w:rsid w:val="006E44BC"/>
    <w:rsid w:val="006F6C26"/>
    <w:rsid w:val="006F7F01"/>
    <w:rsid w:val="00701E98"/>
    <w:rsid w:val="0070265A"/>
    <w:rsid w:val="00705E67"/>
    <w:rsid w:val="00790F45"/>
    <w:rsid w:val="00792BD4"/>
    <w:rsid w:val="00794546"/>
    <w:rsid w:val="007968E7"/>
    <w:rsid w:val="007A5D01"/>
    <w:rsid w:val="007A7DD2"/>
    <w:rsid w:val="007C184D"/>
    <w:rsid w:val="007D5234"/>
    <w:rsid w:val="007D6B2D"/>
    <w:rsid w:val="008050F5"/>
    <w:rsid w:val="00817055"/>
    <w:rsid w:val="008215CF"/>
    <w:rsid w:val="008232DE"/>
    <w:rsid w:val="008339FF"/>
    <w:rsid w:val="008371A3"/>
    <w:rsid w:val="008628C3"/>
    <w:rsid w:val="00882A4C"/>
    <w:rsid w:val="00884CBF"/>
    <w:rsid w:val="00885C13"/>
    <w:rsid w:val="00887B74"/>
    <w:rsid w:val="00891C14"/>
    <w:rsid w:val="00895E81"/>
    <w:rsid w:val="008977AC"/>
    <w:rsid w:val="008A50B1"/>
    <w:rsid w:val="008B11CB"/>
    <w:rsid w:val="008C0032"/>
    <w:rsid w:val="008C2E64"/>
    <w:rsid w:val="008D16A9"/>
    <w:rsid w:val="009147AE"/>
    <w:rsid w:val="009250EC"/>
    <w:rsid w:val="00941AF6"/>
    <w:rsid w:val="009443C7"/>
    <w:rsid w:val="00950A50"/>
    <w:rsid w:val="00953C67"/>
    <w:rsid w:val="0098181D"/>
    <w:rsid w:val="00990E35"/>
    <w:rsid w:val="009B57C0"/>
    <w:rsid w:val="009B5A55"/>
    <w:rsid w:val="009B6D9E"/>
    <w:rsid w:val="009D6ED4"/>
    <w:rsid w:val="009F049A"/>
    <w:rsid w:val="00A00395"/>
    <w:rsid w:val="00A11C0D"/>
    <w:rsid w:val="00A17A02"/>
    <w:rsid w:val="00A4398E"/>
    <w:rsid w:val="00A56121"/>
    <w:rsid w:val="00A57449"/>
    <w:rsid w:val="00A77457"/>
    <w:rsid w:val="00A7753E"/>
    <w:rsid w:val="00A93572"/>
    <w:rsid w:val="00A9458C"/>
    <w:rsid w:val="00AC01A4"/>
    <w:rsid w:val="00AD0B81"/>
    <w:rsid w:val="00AE348D"/>
    <w:rsid w:val="00B12F19"/>
    <w:rsid w:val="00B26E92"/>
    <w:rsid w:val="00B459CA"/>
    <w:rsid w:val="00B623AF"/>
    <w:rsid w:val="00B67627"/>
    <w:rsid w:val="00B81636"/>
    <w:rsid w:val="00B95F53"/>
    <w:rsid w:val="00B971D7"/>
    <w:rsid w:val="00BB2969"/>
    <w:rsid w:val="00BC1CED"/>
    <w:rsid w:val="00BC4675"/>
    <w:rsid w:val="00BD589B"/>
    <w:rsid w:val="00BD7585"/>
    <w:rsid w:val="00C006D0"/>
    <w:rsid w:val="00C06DAE"/>
    <w:rsid w:val="00C131D2"/>
    <w:rsid w:val="00C13E61"/>
    <w:rsid w:val="00C17A1B"/>
    <w:rsid w:val="00C85052"/>
    <w:rsid w:val="00C869CB"/>
    <w:rsid w:val="00C95C76"/>
    <w:rsid w:val="00CC0657"/>
    <w:rsid w:val="00CD0D0F"/>
    <w:rsid w:val="00CD5207"/>
    <w:rsid w:val="00CE20F7"/>
    <w:rsid w:val="00CE49AF"/>
    <w:rsid w:val="00D11C41"/>
    <w:rsid w:val="00D72CAA"/>
    <w:rsid w:val="00D731FA"/>
    <w:rsid w:val="00D73511"/>
    <w:rsid w:val="00D74DB8"/>
    <w:rsid w:val="00D74F1D"/>
    <w:rsid w:val="00D776E5"/>
    <w:rsid w:val="00D80ECA"/>
    <w:rsid w:val="00D94E37"/>
    <w:rsid w:val="00DA48B7"/>
    <w:rsid w:val="00DB41FD"/>
    <w:rsid w:val="00DB7DBB"/>
    <w:rsid w:val="00E1182F"/>
    <w:rsid w:val="00E32B77"/>
    <w:rsid w:val="00E43350"/>
    <w:rsid w:val="00E701C2"/>
    <w:rsid w:val="00E85860"/>
    <w:rsid w:val="00E87A34"/>
    <w:rsid w:val="00E92BD6"/>
    <w:rsid w:val="00EA137F"/>
    <w:rsid w:val="00EA3227"/>
    <w:rsid w:val="00EA4395"/>
    <w:rsid w:val="00ED26B0"/>
    <w:rsid w:val="00ED663F"/>
    <w:rsid w:val="00ED6DA0"/>
    <w:rsid w:val="00EF7005"/>
    <w:rsid w:val="00EF73B5"/>
    <w:rsid w:val="00F129CE"/>
    <w:rsid w:val="00F21926"/>
    <w:rsid w:val="00F616BE"/>
    <w:rsid w:val="00F70F30"/>
    <w:rsid w:val="00F74942"/>
    <w:rsid w:val="00F8218E"/>
    <w:rsid w:val="00F83087"/>
    <w:rsid w:val="00F94349"/>
    <w:rsid w:val="00F965C2"/>
    <w:rsid w:val="00FD1C6F"/>
    <w:rsid w:val="00FD227D"/>
    <w:rsid w:val="00FE3A4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9480-8FD8-4486-9726-DBF3A59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9C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B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E81"/>
  </w:style>
  <w:style w:type="paragraph" w:styleId="aa">
    <w:name w:val="footer"/>
    <w:basedOn w:val="a"/>
    <w:link w:val="ab"/>
    <w:uiPriority w:val="99"/>
    <w:unhideWhenUsed/>
    <w:rsid w:val="0089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E81"/>
  </w:style>
  <w:style w:type="paragraph" w:styleId="ac">
    <w:name w:val="Body Text Indent"/>
    <w:basedOn w:val="a"/>
    <w:link w:val="ad"/>
    <w:rsid w:val="002170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170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85860"/>
    <w:rPr>
      <w:color w:val="0000FF"/>
      <w:u w:val="single"/>
    </w:rPr>
  </w:style>
  <w:style w:type="paragraph" w:customStyle="1" w:styleId="ConsPlusTitle">
    <w:name w:val="ConsPlusTitle"/>
    <w:rsid w:val="008A5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Константин Александрович</dc:creator>
  <cp:lastModifiedBy>Аристов Сергей Николаевич</cp:lastModifiedBy>
  <cp:revision>2</cp:revision>
  <cp:lastPrinted>2020-11-17T23:06:00Z</cp:lastPrinted>
  <dcterms:created xsi:type="dcterms:W3CDTF">2022-01-27T02:02:00Z</dcterms:created>
  <dcterms:modified xsi:type="dcterms:W3CDTF">2022-01-27T02:02:00Z</dcterms:modified>
</cp:coreProperties>
</file>