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DC2884" w:rsidP="00EE0DFD">
            <w:pPr>
              <w:jc w:val="both"/>
              <w:rPr>
                <w:szCs w:val="28"/>
              </w:rPr>
            </w:pPr>
            <w:r w:rsidRPr="00DC2884">
              <w:rPr>
                <w:szCs w:val="28"/>
              </w:rPr>
              <w:t>О внесении изменений в приложение к постановлению Правительства Камчатского края от 04.06.2015 № 197-П «Об утверждении Порядка установления организациям, осуществляющим образовательную деятельность по образовательным программам среднего профессионального образования, контрольных цифр приема по профессиям и специальностям за счет средств краевого бюджета»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572AAF" w:rsidRPr="00572AAF" w:rsidRDefault="00E129B7" w:rsidP="002B290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572AAF" w:rsidRPr="00572AAF">
        <w:rPr>
          <w:szCs w:val="28"/>
        </w:rPr>
        <w:t xml:space="preserve">Приложение к постановлению Правительства Камчатского края </w:t>
      </w:r>
      <w:r w:rsidR="002B290A">
        <w:rPr>
          <w:szCs w:val="28"/>
        </w:rPr>
        <w:t xml:space="preserve">                         </w:t>
      </w:r>
      <w:r w:rsidR="00572AAF" w:rsidRPr="00572AAF">
        <w:rPr>
          <w:szCs w:val="28"/>
        </w:rPr>
        <w:t>от 04.06.2015 № 197-П «Об утверждении Порядка установления организациям, осуществляющим образовательную деятельность по образовательным программам среднего профессионального образования, контрольных цифр приема по профессиям и специальностям за счет средств краевого бюджета» дополнить частью 10 следующ</w:t>
      </w:r>
      <w:r w:rsidR="002B290A">
        <w:rPr>
          <w:szCs w:val="28"/>
        </w:rPr>
        <w:t>его содержания</w:t>
      </w:r>
      <w:r w:rsidR="00572AAF" w:rsidRPr="00572AAF">
        <w:rPr>
          <w:szCs w:val="28"/>
        </w:rPr>
        <w:t>:</w:t>
      </w:r>
    </w:p>
    <w:p w:rsidR="00453F7E" w:rsidRPr="00312540" w:rsidRDefault="00572AAF" w:rsidP="00453F7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12540">
        <w:rPr>
          <w:szCs w:val="28"/>
        </w:rPr>
        <w:t xml:space="preserve">«10. </w:t>
      </w:r>
      <w:hyperlink r:id="rId8" w:history="1">
        <w:r w:rsidR="00453F7E" w:rsidRPr="00312540">
          <w:rPr>
            <w:rStyle w:val="a6"/>
            <w:color w:val="auto"/>
            <w:szCs w:val="28"/>
            <w:u w:val="none"/>
          </w:rPr>
          <w:t>Квота</w:t>
        </w:r>
      </w:hyperlink>
      <w:r w:rsidR="00453F7E" w:rsidRPr="00312540">
        <w:rPr>
          <w:szCs w:val="28"/>
        </w:rPr>
        <w:t xml:space="preserve"> приема на целевое обучение устанавливается по профессиям, специальностям среднего профессионального образования (далее соответственно – профессии, специальности</w:t>
      </w:r>
      <w:r w:rsidR="00312540">
        <w:rPr>
          <w:szCs w:val="28"/>
        </w:rPr>
        <w:t>). П</w:t>
      </w:r>
      <w:r w:rsidR="00453F7E" w:rsidRPr="00312540">
        <w:rPr>
          <w:szCs w:val="28"/>
        </w:rPr>
        <w:t xml:space="preserve">еречень </w:t>
      </w:r>
      <w:r w:rsidR="00312540">
        <w:rPr>
          <w:szCs w:val="28"/>
        </w:rPr>
        <w:t>профессий, специальностей, по которым будут установлены квоты, определяется</w:t>
      </w:r>
      <w:r w:rsidR="00453F7E" w:rsidRPr="00312540">
        <w:rPr>
          <w:szCs w:val="28"/>
        </w:rPr>
        <w:t xml:space="preserve"> приказом Министерства образования Камчатского края, </w:t>
      </w:r>
      <w:r w:rsidR="00193AB7">
        <w:rPr>
          <w:szCs w:val="28"/>
        </w:rPr>
        <w:t>предусматривающим</w:t>
      </w:r>
      <w:r w:rsidR="00453F7E" w:rsidRPr="00312540">
        <w:rPr>
          <w:szCs w:val="28"/>
        </w:rPr>
        <w:t xml:space="preserve"> контрольные цифры приема по профессиям, специальностям за счет средств краевого бюджета на очередной учебный год</w:t>
      </w:r>
      <w:r w:rsidR="00BA0923">
        <w:rPr>
          <w:szCs w:val="28"/>
        </w:rPr>
        <w:t xml:space="preserve"> (далее – бюджетные места)</w:t>
      </w:r>
      <w:r w:rsidR="00592D33">
        <w:rPr>
          <w:szCs w:val="28"/>
        </w:rPr>
        <w:t>.</w:t>
      </w:r>
      <w:r w:rsidR="00453F7E" w:rsidRPr="00312540">
        <w:rPr>
          <w:szCs w:val="28"/>
        </w:rPr>
        <w:t xml:space="preserve"> </w:t>
      </w:r>
      <w:r w:rsidR="00592D33">
        <w:rPr>
          <w:szCs w:val="28"/>
        </w:rPr>
        <w:t xml:space="preserve">Квота </w:t>
      </w:r>
      <w:r w:rsidR="00592D33">
        <w:rPr>
          <w:szCs w:val="28"/>
        </w:rPr>
        <w:lastRenderedPageBreak/>
        <w:t xml:space="preserve">устанавливается в </w:t>
      </w:r>
      <w:r w:rsidR="00453F7E" w:rsidRPr="00312540">
        <w:rPr>
          <w:szCs w:val="28"/>
        </w:rPr>
        <w:t xml:space="preserve">пределах </w:t>
      </w:r>
      <w:r w:rsidR="00BA0923">
        <w:rPr>
          <w:szCs w:val="28"/>
        </w:rPr>
        <w:t>бюджетных мест</w:t>
      </w:r>
      <w:r w:rsidR="00453F7E" w:rsidRPr="00312540">
        <w:rPr>
          <w:szCs w:val="28"/>
        </w:rPr>
        <w:t xml:space="preserve"> на очередной учебный год, в котором осуществляется прием на целевое обучение (далее - год приема на целевое обучение), посредством определения доли мест для приема на целевое обучение в общем количестве бюджетных мест (процентов).</w:t>
      </w:r>
    </w:p>
    <w:p w:rsidR="00453F7E" w:rsidRPr="00312540" w:rsidRDefault="00453F7E" w:rsidP="0039148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12540">
        <w:rPr>
          <w:szCs w:val="28"/>
        </w:rPr>
        <w:t>При установлении квоты приема на целевое обуче</w:t>
      </w:r>
      <w:r w:rsidR="00391483">
        <w:rPr>
          <w:szCs w:val="28"/>
        </w:rPr>
        <w:t>ние учитыва</w:t>
      </w:r>
      <w:r w:rsidR="003F68A2">
        <w:rPr>
          <w:szCs w:val="28"/>
        </w:rPr>
        <w:t>ется</w:t>
      </w:r>
      <w:r w:rsidR="00391483">
        <w:rPr>
          <w:szCs w:val="28"/>
        </w:rPr>
        <w:t xml:space="preserve"> потребность</w:t>
      </w:r>
      <w:r w:rsidRPr="00312540">
        <w:rPr>
          <w:szCs w:val="28"/>
        </w:rPr>
        <w:t xml:space="preserve"> экономики Камчатского края в квалифицированных кадрах по профессиям, специальностям.</w:t>
      </w:r>
    </w:p>
    <w:p w:rsidR="00453F7E" w:rsidRPr="00312540" w:rsidRDefault="00453F7E" w:rsidP="00453F7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12540">
        <w:rPr>
          <w:szCs w:val="28"/>
        </w:rPr>
        <w:t xml:space="preserve">Квота для приема на целевое обучение в </w:t>
      </w:r>
      <w:r w:rsidR="00391483" w:rsidRPr="00391483">
        <w:rPr>
          <w:szCs w:val="28"/>
        </w:rPr>
        <w:t xml:space="preserve">общем количестве бюджетных мест </w:t>
      </w:r>
      <w:r w:rsidRPr="00312540">
        <w:rPr>
          <w:szCs w:val="28"/>
        </w:rPr>
        <w:t xml:space="preserve">на обучение по профессиям, специальностям не может превышать 10 %. </w:t>
      </w:r>
    </w:p>
    <w:p w:rsidR="00453F7E" w:rsidRPr="000E297D" w:rsidRDefault="00ED1104" w:rsidP="0039148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12540">
        <w:rPr>
          <w:szCs w:val="28"/>
        </w:rPr>
        <w:t xml:space="preserve">Заинтересованные исполнительные органы государственной власти Камчатского края ежегодно в срок </w:t>
      </w:r>
      <w:r w:rsidRPr="000E297D">
        <w:rPr>
          <w:szCs w:val="28"/>
        </w:rPr>
        <w:t xml:space="preserve">до 1 </w:t>
      </w:r>
      <w:r w:rsidR="003F68A2" w:rsidRPr="000E297D">
        <w:rPr>
          <w:szCs w:val="28"/>
        </w:rPr>
        <w:t>августа</w:t>
      </w:r>
      <w:r w:rsidRPr="000E297D">
        <w:rPr>
          <w:szCs w:val="28"/>
        </w:rPr>
        <w:t xml:space="preserve"> года, предшествующего году приема на целевое обучение (не позднее 12 мая 2021 года - для приема на целевое обучение в 2021 году), могут направить в Министерство труда и развития кадрово</w:t>
      </w:r>
      <w:r w:rsidR="00193AB7">
        <w:rPr>
          <w:szCs w:val="28"/>
        </w:rPr>
        <w:t>го</w:t>
      </w:r>
      <w:r w:rsidRPr="000E297D">
        <w:rPr>
          <w:szCs w:val="28"/>
        </w:rPr>
        <w:t xml:space="preserve"> </w:t>
      </w:r>
      <w:r w:rsidR="00193AB7">
        <w:rPr>
          <w:szCs w:val="28"/>
        </w:rPr>
        <w:t>потенциала</w:t>
      </w:r>
      <w:r w:rsidRPr="000E297D">
        <w:rPr>
          <w:szCs w:val="28"/>
        </w:rPr>
        <w:t xml:space="preserve"> Камчатского края информацию о потребности соответствующего исполнительного органа государственной власти Камчатского края в подготовке специалистов среднего звена, которую необходимо учесть при установлении квоты приема на целевое обучение. </w:t>
      </w:r>
    </w:p>
    <w:p w:rsidR="00453F7E" w:rsidRPr="000E297D" w:rsidRDefault="00ED1104" w:rsidP="00453F7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E297D">
        <w:rPr>
          <w:szCs w:val="28"/>
        </w:rPr>
        <w:t>Министерство труда и развития кадров</w:t>
      </w:r>
      <w:r w:rsidR="00193AB7">
        <w:rPr>
          <w:szCs w:val="28"/>
        </w:rPr>
        <w:t>ого</w:t>
      </w:r>
      <w:r w:rsidRPr="000E297D">
        <w:rPr>
          <w:szCs w:val="28"/>
        </w:rPr>
        <w:t xml:space="preserve"> </w:t>
      </w:r>
      <w:r w:rsidR="00193AB7">
        <w:rPr>
          <w:szCs w:val="28"/>
        </w:rPr>
        <w:t>потенциала</w:t>
      </w:r>
      <w:r w:rsidRPr="000E297D">
        <w:rPr>
          <w:szCs w:val="28"/>
        </w:rPr>
        <w:t xml:space="preserve"> Камчатского края </w:t>
      </w:r>
      <w:r w:rsidR="00453F7E" w:rsidRPr="000E297D">
        <w:rPr>
          <w:szCs w:val="28"/>
        </w:rPr>
        <w:t xml:space="preserve">не позднее 1 </w:t>
      </w:r>
      <w:r w:rsidR="003F68A2" w:rsidRPr="000E297D">
        <w:rPr>
          <w:szCs w:val="28"/>
        </w:rPr>
        <w:t>октября</w:t>
      </w:r>
      <w:r w:rsidR="00391483" w:rsidRPr="000E297D">
        <w:rPr>
          <w:szCs w:val="28"/>
        </w:rPr>
        <w:t xml:space="preserve"> </w:t>
      </w:r>
      <w:r w:rsidR="00453F7E" w:rsidRPr="000E297D">
        <w:rPr>
          <w:szCs w:val="28"/>
        </w:rPr>
        <w:t xml:space="preserve">года, предшествующего году приема на целевое обучение (не позднее </w:t>
      </w:r>
      <w:r w:rsidR="00391483" w:rsidRPr="000E297D">
        <w:rPr>
          <w:szCs w:val="28"/>
        </w:rPr>
        <w:t>1</w:t>
      </w:r>
      <w:r w:rsidRPr="000E297D">
        <w:rPr>
          <w:szCs w:val="28"/>
        </w:rPr>
        <w:t xml:space="preserve"> </w:t>
      </w:r>
      <w:r w:rsidR="00391483" w:rsidRPr="000E297D">
        <w:rPr>
          <w:szCs w:val="28"/>
        </w:rPr>
        <w:t>июня</w:t>
      </w:r>
      <w:r w:rsidRPr="000E297D">
        <w:rPr>
          <w:szCs w:val="28"/>
        </w:rPr>
        <w:t xml:space="preserve"> 2021 года</w:t>
      </w:r>
      <w:r w:rsidR="00453F7E" w:rsidRPr="000E297D">
        <w:rPr>
          <w:szCs w:val="28"/>
        </w:rPr>
        <w:t xml:space="preserve"> - для приема на целевое обучение в 2</w:t>
      </w:r>
      <w:r w:rsidRPr="000E297D">
        <w:rPr>
          <w:szCs w:val="28"/>
        </w:rPr>
        <w:t>021</w:t>
      </w:r>
      <w:r w:rsidR="00453F7E" w:rsidRPr="000E297D">
        <w:rPr>
          <w:szCs w:val="28"/>
        </w:rPr>
        <w:t xml:space="preserve"> году), представляет в Правительство </w:t>
      </w:r>
      <w:r w:rsidRPr="000E297D">
        <w:rPr>
          <w:szCs w:val="28"/>
        </w:rPr>
        <w:t>Камчатского края</w:t>
      </w:r>
      <w:r w:rsidR="00453F7E" w:rsidRPr="000E297D">
        <w:rPr>
          <w:szCs w:val="28"/>
        </w:rPr>
        <w:t xml:space="preserve"> в установленном порядке проект </w:t>
      </w:r>
      <w:r w:rsidR="00312540" w:rsidRPr="000E297D">
        <w:rPr>
          <w:szCs w:val="28"/>
        </w:rPr>
        <w:t>распоряжения Правительства Камчатского края</w:t>
      </w:r>
      <w:r w:rsidR="00453F7E" w:rsidRPr="000E297D">
        <w:rPr>
          <w:szCs w:val="28"/>
        </w:rPr>
        <w:t>, предусматривающ</w:t>
      </w:r>
      <w:r w:rsidR="00BA0923">
        <w:rPr>
          <w:szCs w:val="28"/>
        </w:rPr>
        <w:t xml:space="preserve">ий </w:t>
      </w:r>
      <w:r w:rsidR="00453F7E" w:rsidRPr="000E297D">
        <w:rPr>
          <w:szCs w:val="28"/>
        </w:rPr>
        <w:t xml:space="preserve">установление квоты приема на целевое обучение по </w:t>
      </w:r>
      <w:r w:rsidRPr="000E297D">
        <w:rPr>
          <w:szCs w:val="28"/>
        </w:rPr>
        <w:t>профессиям</w:t>
      </w:r>
      <w:r w:rsidR="00453F7E" w:rsidRPr="000E297D">
        <w:rPr>
          <w:szCs w:val="28"/>
        </w:rPr>
        <w:t xml:space="preserve">, </w:t>
      </w:r>
      <w:r w:rsidRPr="000E297D">
        <w:rPr>
          <w:szCs w:val="28"/>
        </w:rPr>
        <w:t xml:space="preserve">специальностям. </w:t>
      </w:r>
      <w:r w:rsidR="00453F7E" w:rsidRPr="000E297D">
        <w:rPr>
          <w:szCs w:val="28"/>
        </w:rPr>
        <w:t xml:space="preserve">Указанный проект </w:t>
      </w:r>
      <w:r w:rsidR="00312540" w:rsidRPr="000E297D">
        <w:rPr>
          <w:szCs w:val="28"/>
        </w:rPr>
        <w:t xml:space="preserve">распоряжения Правительства Камчатского края </w:t>
      </w:r>
      <w:r w:rsidR="00453F7E" w:rsidRPr="000E297D">
        <w:rPr>
          <w:szCs w:val="28"/>
        </w:rPr>
        <w:t>представляется с пояснительной запиской, содержащей необходимые обоснования по установлению квоты приема на целевое обучение.</w:t>
      </w:r>
    </w:p>
    <w:p w:rsidR="00453F7E" w:rsidRDefault="00ED1104" w:rsidP="00453F7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Par16"/>
      <w:bookmarkEnd w:id="0"/>
      <w:r w:rsidRPr="000E297D">
        <w:rPr>
          <w:szCs w:val="28"/>
        </w:rPr>
        <w:t>Правительств</w:t>
      </w:r>
      <w:r w:rsidR="00312540" w:rsidRPr="000E297D">
        <w:rPr>
          <w:szCs w:val="28"/>
        </w:rPr>
        <w:t>о</w:t>
      </w:r>
      <w:r w:rsidRPr="000E297D">
        <w:rPr>
          <w:szCs w:val="28"/>
        </w:rPr>
        <w:t xml:space="preserve"> Камчатского края </w:t>
      </w:r>
      <w:r w:rsidR="00453F7E" w:rsidRPr="000E297D">
        <w:rPr>
          <w:szCs w:val="28"/>
        </w:rPr>
        <w:t xml:space="preserve">устанавливает квоту приема на целевое обучение не позднее 1 </w:t>
      </w:r>
      <w:r w:rsidR="003F68A2" w:rsidRPr="000E297D">
        <w:rPr>
          <w:szCs w:val="28"/>
        </w:rPr>
        <w:t>ноября</w:t>
      </w:r>
      <w:r w:rsidR="00453F7E" w:rsidRPr="000E297D">
        <w:rPr>
          <w:szCs w:val="28"/>
        </w:rPr>
        <w:t xml:space="preserve"> года, предшествующего году приема на целевое обучение (не позднее </w:t>
      </w:r>
      <w:r w:rsidR="00391483" w:rsidRPr="000E297D">
        <w:rPr>
          <w:szCs w:val="28"/>
        </w:rPr>
        <w:t>15</w:t>
      </w:r>
      <w:r w:rsidR="00453F7E" w:rsidRPr="000E297D">
        <w:rPr>
          <w:szCs w:val="28"/>
        </w:rPr>
        <w:t xml:space="preserve"> </w:t>
      </w:r>
      <w:r w:rsidR="00312540" w:rsidRPr="000E297D">
        <w:rPr>
          <w:szCs w:val="28"/>
        </w:rPr>
        <w:t>июня</w:t>
      </w:r>
      <w:r w:rsidR="00453F7E" w:rsidRPr="000E297D">
        <w:rPr>
          <w:szCs w:val="28"/>
        </w:rPr>
        <w:t xml:space="preserve"> 20</w:t>
      </w:r>
      <w:r w:rsidR="00312540" w:rsidRPr="000E297D">
        <w:rPr>
          <w:szCs w:val="28"/>
        </w:rPr>
        <w:t>21</w:t>
      </w:r>
      <w:r w:rsidR="00453F7E" w:rsidRPr="000E297D">
        <w:rPr>
          <w:szCs w:val="28"/>
        </w:rPr>
        <w:t xml:space="preserve"> </w:t>
      </w:r>
      <w:r w:rsidR="00312540" w:rsidRPr="000E297D">
        <w:rPr>
          <w:szCs w:val="28"/>
        </w:rPr>
        <w:t>года</w:t>
      </w:r>
      <w:r w:rsidR="00453F7E" w:rsidRPr="000E297D">
        <w:rPr>
          <w:szCs w:val="28"/>
        </w:rPr>
        <w:t xml:space="preserve"> - для приема на целевое обучение в 20</w:t>
      </w:r>
      <w:r w:rsidR="00312540" w:rsidRPr="000E297D">
        <w:rPr>
          <w:szCs w:val="28"/>
        </w:rPr>
        <w:t xml:space="preserve">21 </w:t>
      </w:r>
      <w:r w:rsidR="00453F7E" w:rsidRPr="000E297D">
        <w:rPr>
          <w:szCs w:val="28"/>
        </w:rPr>
        <w:t>году).</w:t>
      </w:r>
    </w:p>
    <w:p w:rsidR="005A2129" w:rsidRDefault="003F68A2" w:rsidP="000E29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Исполнительные органы государственной власти Камчатского края, являющиеся учредителями образовательных организаций</w:t>
      </w:r>
      <w:r w:rsidR="000E297D">
        <w:rPr>
          <w:szCs w:val="28"/>
        </w:rPr>
        <w:t xml:space="preserve"> (далее – учредитель)</w:t>
      </w:r>
      <w:r>
        <w:rPr>
          <w:szCs w:val="28"/>
        </w:rPr>
        <w:t xml:space="preserve">, в соответствии с </w:t>
      </w:r>
      <w:r w:rsidRPr="003F68A2">
        <w:rPr>
          <w:szCs w:val="28"/>
        </w:rPr>
        <w:t>распоряжени</w:t>
      </w:r>
      <w:r>
        <w:rPr>
          <w:szCs w:val="28"/>
        </w:rPr>
        <w:t>ем</w:t>
      </w:r>
      <w:r w:rsidRPr="003F68A2">
        <w:rPr>
          <w:szCs w:val="28"/>
        </w:rPr>
        <w:t xml:space="preserve"> Правительства Камчатского края</w:t>
      </w:r>
      <w:r>
        <w:rPr>
          <w:szCs w:val="28"/>
        </w:rPr>
        <w:t>,</w:t>
      </w:r>
      <w:r w:rsidRPr="003F68A2">
        <w:rPr>
          <w:szCs w:val="28"/>
        </w:rPr>
        <w:t xml:space="preserve"> предусматривающ</w:t>
      </w:r>
      <w:r w:rsidR="00193AB7">
        <w:rPr>
          <w:szCs w:val="28"/>
        </w:rPr>
        <w:t>им</w:t>
      </w:r>
      <w:r w:rsidRPr="003F68A2">
        <w:rPr>
          <w:szCs w:val="28"/>
        </w:rPr>
        <w:t xml:space="preserve"> установление квоты приема на целевое обучение по профессиям, </w:t>
      </w:r>
      <w:r>
        <w:rPr>
          <w:szCs w:val="28"/>
        </w:rPr>
        <w:t xml:space="preserve">специальностям, </w:t>
      </w:r>
      <w:r w:rsidRPr="003F68A2">
        <w:rPr>
          <w:szCs w:val="28"/>
        </w:rPr>
        <w:t>детализир</w:t>
      </w:r>
      <w:r>
        <w:rPr>
          <w:szCs w:val="28"/>
        </w:rPr>
        <w:t>уют</w:t>
      </w:r>
      <w:r w:rsidRPr="003F68A2">
        <w:rPr>
          <w:szCs w:val="28"/>
        </w:rPr>
        <w:t xml:space="preserve"> квоту приема на целевое обучение с установлением количества мест по </w:t>
      </w:r>
      <w:r>
        <w:rPr>
          <w:szCs w:val="28"/>
        </w:rPr>
        <w:t xml:space="preserve">профессиям, специальностям для </w:t>
      </w:r>
      <w:r w:rsidRPr="003F68A2">
        <w:rPr>
          <w:szCs w:val="28"/>
        </w:rPr>
        <w:t>пр</w:t>
      </w:r>
      <w:r>
        <w:rPr>
          <w:szCs w:val="28"/>
        </w:rPr>
        <w:t xml:space="preserve">иема в конкретные </w:t>
      </w:r>
      <w:r w:rsidR="00193AB7">
        <w:rPr>
          <w:szCs w:val="28"/>
        </w:rPr>
        <w:t xml:space="preserve">образовательные </w:t>
      </w:r>
      <w:r>
        <w:rPr>
          <w:szCs w:val="28"/>
        </w:rPr>
        <w:t xml:space="preserve">организации </w:t>
      </w:r>
      <w:r w:rsidRPr="003F68A2">
        <w:rPr>
          <w:szCs w:val="28"/>
        </w:rPr>
        <w:t xml:space="preserve">не позднее 1 </w:t>
      </w:r>
      <w:r>
        <w:rPr>
          <w:szCs w:val="28"/>
        </w:rPr>
        <w:t>декабря</w:t>
      </w:r>
      <w:r w:rsidRPr="003F68A2">
        <w:rPr>
          <w:szCs w:val="28"/>
        </w:rPr>
        <w:t xml:space="preserve"> года, предшествующего году приема на целевое обучение (не позднее </w:t>
      </w:r>
      <w:r w:rsidR="00866B06">
        <w:rPr>
          <w:szCs w:val="28"/>
        </w:rPr>
        <w:t>18</w:t>
      </w:r>
      <w:r>
        <w:rPr>
          <w:szCs w:val="28"/>
        </w:rPr>
        <w:t xml:space="preserve"> </w:t>
      </w:r>
      <w:r w:rsidRPr="003F68A2">
        <w:rPr>
          <w:szCs w:val="28"/>
        </w:rPr>
        <w:t>июня 2021 года - для приема на целевое обучение в 2021 году).</w:t>
      </w:r>
      <w:r w:rsidR="000E297D">
        <w:rPr>
          <w:szCs w:val="28"/>
        </w:rPr>
        <w:t xml:space="preserve"> </w:t>
      </w:r>
    </w:p>
    <w:p w:rsidR="003F68A2" w:rsidRPr="00312540" w:rsidRDefault="000E297D" w:rsidP="000E29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Учредитель при </w:t>
      </w:r>
      <w:r w:rsidRPr="000E297D">
        <w:rPr>
          <w:szCs w:val="28"/>
        </w:rPr>
        <w:t>детализа</w:t>
      </w:r>
      <w:r>
        <w:rPr>
          <w:szCs w:val="28"/>
        </w:rPr>
        <w:t>ции</w:t>
      </w:r>
      <w:r w:rsidRPr="000E297D">
        <w:rPr>
          <w:szCs w:val="28"/>
        </w:rPr>
        <w:t xml:space="preserve"> квот</w:t>
      </w:r>
      <w:r>
        <w:rPr>
          <w:szCs w:val="28"/>
        </w:rPr>
        <w:t>ы</w:t>
      </w:r>
      <w:r w:rsidRPr="000E297D">
        <w:rPr>
          <w:szCs w:val="28"/>
        </w:rPr>
        <w:t xml:space="preserve"> приема на целевое обучение с установлением количества мест по профессиям, специальностям для приема в конкретные </w:t>
      </w:r>
      <w:r w:rsidR="00193AB7">
        <w:rPr>
          <w:szCs w:val="28"/>
        </w:rPr>
        <w:t xml:space="preserve">образовательные </w:t>
      </w:r>
      <w:r w:rsidRPr="000E297D">
        <w:rPr>
          <w:szCs w:val="28"/>
        </w:rPr>
        <w:t xml:space="preserve">организации </w:t>
      </w:r>
      <w:r>
        <w:rPr>
          <w:szCs w:val="28"/>
        </w:rPr>
        <w:t xml:space="preserve">использует </w:t>
      </w:r>
      <w:r w:rsidRPr="000E297D">
        <w:rPr>
          <w:szCs w:val="28"/>
        </w:rPr>
        <w:t>действующи</w:t>
      </w:r>
      <w:r>
        <w:rPr>
          <w:szCs w:val="28"/>
        </w:rPr>
        <w:t>й</w:t>
      </w:r>
      <w:r w:rsidRPr="000E297D">
        <w:rPr>
          <w:szCs w:val="28"/>
        </w:rPr>
        <w:t xml:space="preserve"> поряд</w:t>
      </w:r>
      <w:r>
        <w:rPr>
          <w:szCs w:val="28"/>
        </w:rPr>
        <w:t>ок</w:t>
      </w:r>
      <w:r w:rsidRPr="000E297D">
        <w:rPr>
          <w:szCs w:val="28"/>
        </w:rPr>
        <w:t xml:space="preserve"> округления (по математическим правилам). Если количество мест, рассчитанное в соответствии с квотой приема на целевое обучение, установленной распоряжением Правительства Камчатского края, составляет менее одного, </w:t>
      </w:r>
      <w:r w:rsidR="00193AB7">
        <w:rPr>
          <w:szCs w:val="28"/>
        </w:rPr>
        <w:t xml:space="preserve">то </w:t>
      </w:r>
      <w:r w:rsidRPr="000E297D">
        <w:rPr>
          <w:szCs w:val="28"/>
        </w:rPr>
        <w:lastRenderedPageBreak/>
        <w:t>выделяется одно место.</w:t>
      </w:r>
    </w:p>
    <w:p w:rsidR="00453F7E" w:rsidRPr="00312540" w:rsidRDefault="00193AB7" w:rsidP="00453F7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Образовательная о</w:t>
      </w:r>
      <w:r w:rsidR="00453F7E" w:rsidRPr="00312540">
        <w:rPr>
          <w:szCs w:val="28"/>
        </w:rPr>
        <w:t xml:space="preserve">рганизация не позднее </w:t>
      </w:r>
      <w:r w:rsidR="00312540" w:rsidRPr="00312540">
        <w:rPr>
          <w:szCs w:val="28"/>
        </w:rPr>
        <w:t xml:space="preserve">20 </w:t>
      </w:r>
      <w:r w:rsidR="00453F7E" w:rsidRPr="00312540">
        <w:rPr>
          <w:szCs w:val="28"/>
        </w:rPr>
        <w:t xml:space="preserve">июня года приема на целевое обучение выделяет количество мест для приема на целевое обучение по конкретным </w:t>
      </w:r>
      <w:r w:rsidR="00312540" w:rsidRPr="00312540">
        <w:rPr>
          <w:szCs w:val="28"/>
        </w:rPr>
        <w:t>профессиям, специальностям</w:t>
      </w:r>
      <w:r w:rsidR="00453F7E" w:rsidRPr="00312540">
        <w:rPr>
          <w:szCs w:val="28"/>
        </w:rPr>
        <w:t xml:space="preserve"> </w:t>
      </w:r>
      <w:r w:rsidR="00391483">
        <w:rPr>
          <w:szCs w:val="28"/>
        </w:rPr>
        <w:t xml:space="preserve">в </w:t>
      </w:r>
      <w:r w:rsidR="00453F7E" w:rsidRPr="00312540">
        <w:rPr>
          <w:szCs w:val="28"/>
        </w:rPr>
        <w:t xml:space="preserve">соответствии с квотой приема на целевое обучение, установленной </w:t>
      </w:r>
      <w:r w:rsidR="003F68A2">
        <w:rPr>
          <w:szCs w:val="28"/>
        </w:rPr>
        <w:t>учредителем</w:t>
      </w:r>
      <w:r w:rsidR="000E297D">
        <w:rPr>
          <w:szCs w:val="28"/>
        </w:rPr>
        <w:t>.</w:t>
      </w:r>
    </w:p>
    <w:p w:rsidR="00951179" w:rsidRPr="00312540" w:rsidRDefault="00193AB7" w:rsidP="0088260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Образовательные организации</w:t>
      </w:r>
      <w:r w:rsidR="00450EA1" w:rsidRPr="00312540">
        <w:rPr>
          <w:szCs w:val="28"/>
        </w:rPr>
        <w:t xml:space="preserve"> </w:t>
      </w:r>
      <w:r w:rsidR="00E97DB3">
        <w:rPr>
          <w:szCs w:val="28"/>
        </w:rPr>
        <w:t>начинают</w:t>
      </w:r>
      <w:r w:rsidR="00450EA1" w:rsidRPr="00312540">
        <w:rPr>
          <w:szCs w:val="28"/>
        </w:rPr>
        <w:t xml:space="preserve"> прием документов на обучение </w:t>
      </w:r>
      <w:r w:rsidR="004379B4" w:rsidRPr="00312540">
        <w:rPr>
          <w:szCs w:val="28"/>
        </w:rPr>
        <w:t xml:space="preserve">на квотируемые места </w:t>
      </w:r>
      <w:r w:rsidR="00450EA1" w:rsidRPr="00312540">
        <w:rPr>
          <w:szCs w:val="28"/>
        </w:rPr>
        <w:t>по</w:t>
      </w:r>
      <w:r>
        <w:rPr>
          <w:szCs w:val="28"/>
        </w:rPr>
        <w:t xml:space="preserve"> профессиям, специальностям</w:t>
      </w:r>
      <w:r w:rsidR="00450EA1" w:rsidRPr="00312540">
        <w:rPr>
          <w:szCs w:val="28"/>
        </w:rPr>
        <w:t xml:space="preserve"> ежегодно не позднее 20 июня. Прием документов осуществляется до 15 августа.</w:t>
      </w:r>
    </w:p>
    <w:p w:rsidR="00700802" w:rsidRPr="00312540" w:rsidRDefault="00882601" w:rsidP="004379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12540">
        <w:rPr>
          <w:szCs w:val="28"/>
        </w:rPr>
        <w:t>После 15 августа при наличии свободных мест на целевое обучение в образовательной организации</w:t>
      </w:r>
      <w:r w:rsidR="00193AB7">
        <w:rPr>
          <w:szCs w:val="28"/>
        </w:rPr>
        <w:t xml:space="preserve"> </w:t>
      </w:r>
      <w:r w:rsidRPr="00312540">
        <w:rPr>
          <w:szCs w:val="28"/>
        </w:rPr>
        <w:t xml:space="preserve">прием документов продлевается до 25 ноября года </w:t>
      </w:r>
      <w:r w:rsidR="00193AB7">
        <w:rPr>
          <w:szCs w:val="28"/>
        </w:rPr>
        <w:t xml:space="preserve">приема на целевое обучение </w:t>
      </w:r>
      <w:r w:rsidRPr="00312540">
        <w:rPr>
          <w:szCs w:val="28"/>
        </w:rPr>
        <w:t xml:space="preserve">на общих основаниях для абитуриентов, желающих поступить по </w:t>
      </w:r>
      <w:r w:rsidR="00866B06">
        <w:rPr>
          <w:szCs w:val="28"/>
        </w:rPr>
        <w:t>профессиям, специальностям</w:t>
      </w:r>
      <w:r w:rsidR="00932B92" w:rsidRPr="00312540">
        <w:rPr>
          <w:szCs w:val="28"/>
        </w:rPr>
        <w:t>.</w:t>
      </w:r>
      <w:r w:rsidR="004379B4" w:rsidRPr="00312540">
        <w:rPr>
          <w:szCs w:val="28"/>
        </w:rPr>
        <w:t>».</w:t>
      </w:r>
    </w:p>
    <w:p w:rsidR="00572AAF" w:rsidRPr="00572AAF" w:rsidRDefault="00572AAF" w:rsidP="00572AAF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  <w:r w:rsidRPr="00312540">
        <w:rPr>
          <w:szCs w:val="28"/>
        </w:rPr>
        <w:t>2. Настоящее постановление вступает в силу через 10 дней после дня его официального опубликования.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3C0806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3C0806">
            <w:bookmarkStart w:id="1" w:name="SIGNERSTAMP1"/>
            <w:r w:rsidRPr="00F04282">
              <w:t>[горизонтальный штамп подписи 1]</w:t>
            </w:r>
            <w:bookmarkEnd w:id="1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AC1954" w:rsidP="003C0806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B2C32" w:rsidRDefault="000B2C3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B2C32" w:rsidRDefault="000B2C3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B2C32" w:rsidRDefault="000B2C3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B2C32" w:rsidRDefault="000B2C3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B2C32" w:rsidRDefault="000B2C3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B2C32" w:rsidRDefault="000B2C3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B2C32" w:rsidRDefault="000B2C3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B2C32" w:rsidRDefault="000B2C3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B2C32" w:rsidRDefault="000B2C3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B2C32" w:rsidRDefault="000B2C3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B2C32" w:rsidRDefault="000B2C3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B2C32" w:rsidRDefault="000B2C3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B2C32" w:rsidRDefault="000B2C3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B2C32" w:rsidRDefault="000B2C3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B2C32" w:rsidRDefault="000B2C3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B2C32" w:rsidRDefault="000B2C3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B2C32" w:rsidRPr="000B2C32" w:rsidRDefault="000B2C32" w:rsidP="000B2C3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0B2C32">
        <w:rPr>
          <w:szCs w:val="28"/>
        </w:rPr>
        <w:lastRenderedPageBreak/>
        <w:t>Пояснительная записка</w:t>
      </w:r>
    </w:p>
    <w:p w:rsidR="000B2C32" w:rsidRPr="000B2C32" w:rsidRDefault="000B2C32" w:rsidP="000B2C32">
      <w:pPr>
        <w:autoSpaceDE w:val="0"/>
        <w:autoSpaceDN w:val="0"/>
        <w:adjustRightInd w:val="0"/>
        <w:ind w:firstLine="709"/>
        <w:jc w:val="center"/>
        <w:outlineLvl w:val="0"/>
        <w:rPr>
          <w:szCs w:val="28"/>
        </w:rPr>
      </w:pPr>
      <w:r w:rsidRPr="000B2C32">
        <w:rPr>
          <w:szCs w:val="28"/>
        </w:rPr>
        <w:t>к проекту постановления Правительства Камчатского края</w:t>
      </w:r>
    </w:p>
    <w:p w:rsidR="000B2C32" w:rsidRPr="000B2C32" w:rsidRDefault="000B2C32" w:rsidP="000B2C32">
      <w:pPr>
        <w:autoSpaceDE w:val="0"/>
        <w:autoSpaceDN w:val="0"/>
        <w:adjustRightInd w:val="0"/>
        <w:ind w:firstLine="709"/>
        <w:jc w:val="center"/>
        <w:outlineLvl w:val="0"/>
        <w:rPr>
          <w:szCs w:val="28"/>
        </w:rPr>
      </w:pPr>
      <w:r w:rsidRPr="000B2C32">
        <w:rPr>
          <w:kern w:val="28"/>
          <w:szCs w:val="28"/>
        </w:rPr>
        <w:t>«</w:t>
      </w:r>
      <w:r w:rsidRPr="000B2C32">
        <w:rPr>
          <w:szCs w:val="28"/>
        </w:rPr>
        <w:t>О внесении изменений в приложение к постановлению Правительства Камчатского края от 04.06.2015 № 197-П «Об утверждении Порядка установления организациям, осуществляющим образовательную деятельность по образовательным программам среднего профессионального образования, контрольных цифр приема по профессиям и специальностям за счет средств краевого бюджета».</w:t>
      </w:r>
    </w:p>
    <w:p w:rsidR="000B2C32" w:rsidRPr="000B2C32" w:rsidRDefault="000B2C32" w:rsidP="000B2C32">
      <w:pPr>
        <w:rPr>
          <w:kern w:val="28"/>
          <w:szCs w:val="28"/>
        </w:rPr>
      </w:pPr>
    </w:p>
    <w:p w:rsidR="000B2C32" w:rsidRPr="000B2C32" w:rsidRDefault="000B2C32" w:rsidP="000B2C32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0B2C32">
        <w:rPr>
          <w:szCs w:val="28"/>
        </w:rPr>
        <w:t>Настоящим проектом постановления утверждаются изменения в Порядок установления организациям, осуществляющим образовательную деятельность по образовательным программам среднего профессионального образования, контрольных цифр приема по профессиям и специальностям за счет средств краевого бюджета. Предусмотрен механизм установления квот для приема на целевое обучение по образовательным программам среднего профессионального образования з</w:t>
      </w:r>
      <w:r w:rsidR="00CA6592">
        <w:rPr>
          <w:szCs w:val="28"/>
        </w:rPr>
        <w:t>а счет средств краевого бюджета.</w:t>
      </w:r>
      <w:bookmarkStart w:id="2" w:name="_GoBack"/>
      <w:bookmarkEnd w:id="2"/>
    </w:p>
    <w:p w:rsidR="000B2C32" w:rsidRPr="000B2C32" w:rsidRDefault="000B2C32" w:rsidP="000B2C3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B2C32">
        <w:rPr>
          <w:color w:val="000000"/>
          <w:szCs w:val="28"/>
        </w:rPr>
        <w:t xml:space="preserve">Издание настоящего постановления Правительства Камчатского края не потребует выделения дополнительных финансовых средств из краевого бюджета. </w:t>
      </w:r>
    </w:p>
    <w:p w:rsidR="000B2C32" w:rsidRPr="000B2C32" w:rsidRDefault="000B2C32" w:rsidP="000B2C3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B2C32">
        <w:rPr>
          <w:szCs w:val="28"/>
        </w:rPr>
        <w:t xml:space="preserve">В соответствии с </w:t>
      </w:r>
      <w:r w:rsidRPr="000B2C32">
        <w:rPr>
          <w:bCs/>
          <w:szCs w:val="28"/>
        </w:rPr>
        <w:t xml:space="preserve">Порядком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края, утвержденным </w:t>
      </w:r>
      <w:hyperlink r:id="rId9" w:history="1">
        <w:r w:rsidRPr="000B2C32">
          <w:rPr>
            <w:szCs w:val="28"/>
          </w:rPr>
          <w:t>постановлением</w:t>
        </w:r>
      </w:hyperlink>
      <w:r w:rsidRPr="000B2C32">
        <w:rPr>
          <w:szCs w:val="28"/>
        </w:rPr>
        <w:t xml:space="preserve"> Правительства Камчатского края от 06.06.2013 № 233-П, представленный проект постановления Правительства не подлежит оценке регулирующего воздействия.</w:t>
      </w:r>
    </w:p>
    <w:p w:rsidR="000B2C32" w:rsidRPr="000B2C32" w:rsidRDefault="000B2C32" w:rsidP="000B2C32">
      <w:pPr>
        <w:rPr>
          <w:sz w:val="24"/>
        </w:rPr>
      </w:pPr>
    </w:p>
    <w:p w:rsidR="000B2C32" w:rsidRPr="008D13CF" w:rsidRDefault="000B2C3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sectPr w:rsidR="000B2C32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FF4" w:rsidRDefault="000A4FF4" w:rsidP="00342D13">
      <w:r>
        <w:separator/>
      </w:r>
    </w:p>
  </w:endnote>
  <w:endnote w:type="continuationSeparator" w:id="0">
    <w:p w:rsidR="000A4FF4" w:rsidRDefault="000A4FF4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FF4" w:rsidRDefault="000A4FF4" w:rsidP="00342D13">
      <w:r>
        <w:separator/>
      </w:r>
    </w:p>
  </w:footnote>
  <w:footnote w:type="continuationSeparator" w:id="0">
    <w:p w:rsidR="000A4FF4" w:rsidRDefault="000A4FF4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312B"/>
    <w:rsid w:val="00044126"/>
    <w:rsid w:val="000545B3"/>
    <w:rsid w:val="000A4FF4"/>
    <w:rsid w:val="000B2C32"/>
    <w:rsid w:val="000C1841"/>
    <w:rsid w:val="000E297D"/>
    <w:rsid w:val="0010596D"/>
    <w:rsid w:val="00153CE4"/>
    <w:rsid w:val="001723D0"/>
    <w:rsid w:val="00191854"/>
    <w:rsid w:val="00193AB7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779E7"/>
    <w:rsid w:val="00296585"/>
    <w:rsid w:val="002A71B0"/>
    <w:rsid w:val="002B290A"/>
    <w:rsid w:val="002B334D"/>
    <w:rsid w:val="002D43BE"/>
    <w:rsid w:val="00312540"/>
    <w:rsid w:val="00321E7D"/>
    <w:rsid w:val="00342D13"/>
    <w:rsid w:val="00362299"/>
    <w:rsid w:val="003832CF"/>
    <w:rsid w:val="00391483"/>
    <w:rsid w:val="003926A3"/>
    <w:rsid w:val="003A5BEF"/>
    <w:rsid w:val="003A7F52"/>
    <w:rsid w:val="003C2A43"/>
    <w:rsid w:val="003D6F0D"/>
    <w:rsid w:val="003E38BA"/>
    <w:rsid w:val="003F68A2"/>
    <w:rsid w:val="00420AE2"/>
    <w:rsid w:val="004379B4"/>
    <w:rsid w:val="00441A91"/>
    <w:rsid w:val="00450EA1"/>
    <w:rsid w:val="00453F7E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72AAF"/>
    <w:rsid w:val="00592D33"/>
    <w:rsid w:val="005A2129"/>
    <w:rsid w:val="005E22DD"/>
    <w:rsid w:val="005F0B57"/>
    <w:rsid w:val="005F2BC6"/>
    <w:rsid w:val="006317BF"/>
    <w:rsid w:val="006604E4"/>
    <w:rsid w:val="006650EC"/>
    <w:rsid w:val="006979FB"/>
    <w:rsid w:val="006A5AB2"/>
    <w:rsid w:val="006D4BF2"/>
    <w:rsid w:val="006E4B23"/>
    <w:rsid w:val="00700802"/>
    <w:rsid w:val="007120E9"/>
    <w:rsid w:val="0072115F"/>
    <w:rsid w:val="00733DC4"/>
    <w:rsid w:val="00747197"/>
    <w:rsid w:val="00760202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66B06"/>
    <w:rsid w:val="00882601"/>
    <w:rsid w:val="008B7954"/>
    <w:rsid w:val="008D13CF"/>
    <w:rsid w:val="008F114E"/>
    <w:rsid w:val="008F586A"/>
    <w:rsid w:val="00905B59"/>
    <w:rsid w:val="009244DB"/>
    <w:rsid w:val="00932B92"/>
    <w:rsid w:val="00941FB5"/>
    <w:rsid w:val="00951179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66FBC"/>
    <w:rsid w:val="00A7789B"/>
    <w:rsid w:val="00A96A62"/>
    <w:rsid w:val="00AA224D"/>
    <w:rsid w:val="00AA3CED"/>
    <w:rsid w:val="00AB08DC"/>
    <w:rsid w:val="00AB3503"/>
    <w:rsid w:val="00AC1954"/>
    <w:rsid w:val="00AC284F"/>
    <w:rsid w:val="00AC6BC7"/>
    <w:rsid w:val="00AD7168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0923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A6592"/>
    <w:rsid w:val="00CB67A4"/>
    <w:rsid w:val="00CD4A09"/>
    <w:rsid w:val="00CE5360"/>
    <w:rsid w:val="00D04C82"/>
    <w:rsid w:val="00D20BAC"/>
    <w:rsid w:val="00D23436"/>
    <w:rsid w:val="00D605CF"/>
    <w:rsid w:val="00D840CE"/>
    <w:rsid w:val="00D871DE"/>
    <w:rsid w:val="00DA3A2D"/>
    <w:rsid w:val="00DC2884"/>
    <w:rsid w:val="00DC34F7"/>
    <w:rsid w:val="00DD3F53"/>
    <w:rsid w:val="00E0636D"/>
    <w:rsid w:val="00E129B7"/>
    <w:rsid w:val="00E24ECE"/>
    <w:rsid w:val="00E34935"/>
    <w:rsid w:val="00E34D60"/>
    <w:rsid w:val="00E3601E"/>
    <w:rsid w:val="00E371B1"/>
    <w:rsid w:val="00E43D52"/>
    <w:rsid w:val="00E50355"/>
    <w:rsid w:val="00E704ED"/>
    <w:rsid w:val="00E75ACC"/>
    <w:rsid w:val="00E872A5"/>
    <w:rsid w:val="00E94805"/>
    <w:rsid w:val="00E97DB3"/>
    <w:rsid w:val="00EB3439"/>
    <w:rsid w:val="00ED1104"/>
    <w:rsid w:val="00EE0DFD"/>
    <w:rsid w:val="00EE60C2"/>
    <w:rsid w:val="00EE6F1E"/>
    <w:rsid w:val="00F35D89"/>
    <w:rsid w:val="00F73B10"/>
    <w:rsid w:val="00F74A59"/>
    <w:rsid w:val="00FA06A4"/>
    <w:rsid w:val="00FA11B3"/>
    <w:rsid w:val="00FB6E5E"/>
    <w:rsid w:val="00FC7ACA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12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33CC831BA04ABE22492354CC3CC47735E33B87CF9D62319E024D2064EA8565808F0D71E7FCD863A8A1FCA20BC0BBFB051ECB449D8D336DSFuA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5F0162A4BBA5A6AAB0ACE49CD3EF9B0E73BBDC381333C5B7C7EE075875sF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D2DE5-0DAA-4F48-A671-D8330E71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7062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Лазарева Алла Ивановна</cp:lastModifiedBy>
  <cp:revision>11</cp:revision>
  <cp:lastPrinted>2021-04-01T23:12:00Z</cp:lastPrinted>
  <dcterms:created xsi:type="dcterms:W3CDTF">2021-03-02T02:09:00Z</dcterms:created>
  <dcterms:modified xsi:type="dcterms:W3CDTF">2021-04-04T20:59:00Z</dcterms:modified>
</cp:coreProperties>
</file>