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937697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 ООО «</w:t>
            </w:r>
            <w:r w:rsidR="00937697">
              <w:rPr>
                <w:szCs w:val="28"/>
              </w:rPr>
              <w:t>Марлин</w:t>
            </w:r>
            <w:r w:rsidRPr="00F92CD6">
              <w:rPr>
                <w:szCs w:val="28"/>
              </w:rPr>
              <w:t>» на 20</w:t>
            </w:r>
            <w:r w:rsidR="00937697">
              <w:rPr>
                <w:szCs w:val="28"/>
              </w:rPr>
              <w:t>21</w:t>
            </w:r>
            <w:r w:rsidRPr="00F92CD6">
              <w:rPr>
                <w:szCs w:val="28"/>
              </w:rPr>
              <w:t xml:space="preserve"> – 202</w:t>
            </w:r>
            <w:r w:rsidR="00937697">
              <w:rPr>
                <w:szCs w:val="28"/>
              </w:rPr>
              <w:t>3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937697" w:rsidRPr="00937697">
        <w:rPr>
          <w:szCs w:val="28"/>
          <w:highlight w:val="yellow"/>
        </w:rPr>
        <w:t>30</w:t>
      </w:r>
      <w:r w:rsidRPr="00937697">
        <w:rPr>
          <w:szCs w:val="28"/>
          <w:highlight w:val="yellow"/>
        </w:rPr>
        <w:t>.03.2021 № Х</w:t>
      </w:r>
      <w:r w:rsidR="00937697" w:rsidRPr="00937697">
        <w:rPr>
          <w:szCs w:val="28"/>
          <w:highlight w:val="yellow"/>
        </w:rPr>
        <w:t>Х</w:t>
      </w:r>
      <w:bookmarkStart w:id="0" w:name="_GoBack"/>
      <w:bookmarkEnd w:id="0"/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>Утвердить требования к программе в области энергосбережения и повышения энергетической эффективности ООО «</w:t>
      </w:r>
      <w:r w:rsidR="00937697">
        <w:rPr>
          <w:szCs w:val="28"/>
        </w:rPr>
        <w:t>Марлин</w:t>
      </w:r>
      <w:r w:rsidR="00F92CD6" w:rsidRPr="00F92CD6">
        <w:rPr>
          <w:szCs w:val="28"/>
        </w:rPr>
        <w:t>» (далее – Требования) на 20</w:t>
      </w:r>
      <w:r w:rsidR="00F92CD6">
        <w:rPr>
          <w:szCs w:val="28"/>
        </w:rPr>
        <w:t>2</w:t>
      </w:r>
      <w:r w:rsidR="00937697">
        <w:rPr>
          <w:szCs w:val="28"/>
        </w:rPr>
        <w:t>1</w:t>
      </w:r>
      <w:r w:rsidR="00F92CD6" w:rsidRPr="00F92CD6">
        <w:rPr>
          <w:szCs w:val="28"/>
        </w:rPr>
        <w:t xml:space="preserve"> – 202</w:t>
      </w:r>
      <w:r w:rsidR="00937697">
        <w:rPr>
          <w:szCs w:val="28"/>
        </w:rPr>
        <w:t>3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F92CD6" w:rsidRPr="00F92CD6">
        <w:t>ООО «</w:t>
      </w:r>
      <w:r w:rsidR="00937697">
        <w:t>Марлин</w:t>
      </w:r>
      <w:r w:rsidR="00F92CD6" w:rsidRPr="00F92CD6">
        <w:t>»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937697" w:rsidRPr="00937697">
        <w:rPr>
          <w:b w:val="0"/>
          <w:sz w:val="28"/>
          <w:szCs w:val="28"/>
          <w:highlight w:val="yellow"/>
        </w:rPr>
        <w:t>30</w:t>
      </w:r>
      <w:r w:rsidRPr="00937697">
        <w:rPr>
          <w:b w:val="0"/>
          <w:sz w:val="28"/>
          <w:szCs w:val="28"/>
          <w:highlight w:val="yellow"/>
        </w:rPr>
        <w:t>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Pr="00B83AEA">
        <w:rPr>
          <w:sz w:val="28"/>
          <w:szCs w:val="28"/>
        </w:rPr>
        <w:t>ООО «</w:t>
      </w:r>
      <w:r w:rsidR="00937697">
        <w:rPr>
          <w:sz w:val="28"/>
          <w:szCs w:val="28"/>
        </w:rPr>
        <w:t>Марлин</w:t>
      </w:r>
      <w:r w:rsidRPr="00B83AEA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Pr="00B83AEA"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37697" w:rsidRPr="002A1517" w:rsidRDefault="00937697" w:rsidP="00937697">
      <w:pPr>
        <w:jc w:val="center"/>
        <w:rPr>
          <w:b/>
          <w:szCs w:val="28"/>
        </w:rPr>
      </w:pPr>
      <w:r w:rsidRPr="002A1517">
        <w:rPr>
          <w:b/>
          <w:bCs/>
          <w:szCs w:val="28"/>
        </w:rPr>
        <w:t xml:space="preserve">Целевые показатели </w:t>
      </w:r>
      <w:r w:rsidRPr="002A1517">
        <w:rPr>
          <w:b/>
          <w:szCs w:val="28"/>
        </w:rPr>
        <w:t>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937697" w:rsidRPr="002A1517" w:rsidRDefault="00937697" w:rsidP="00937697">
      <w:pPr>
        <w:jc w:val="center"/>
        <w:rPr>
          <w:b/>
          <w:bCs/>
          <w:szCs w:val="28"/>
        </w:rPr>
      </w:pPr>
    </w:p>
    <w:p w:rsidR="00937697" w:rsidRPr="00F80702" w:rsidRDefault="00937697" w:rsidP="00937697">
      <w:pPr>
        <w:ind w:firstLine="709"/>
        <w:jc w:val="both"/>
        <w:rPr>
          <w:bCs/>
          <w:szCs w:val="28"/>
        </w:rPr>
      </w:pPr>
      <w:r w:rsidRPr="00F80702">
        <w:rPr>
          <w:bCs/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937697" w:rsidRPr="00F80702" w:rsidRDefault="00937697" w:rsidP="00937697">
      <w:pPr>
        <w:jc w:val="center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326"/>
        <w:gridCol w:w="1725"/>
        <w:gridCol w:w="1446"/>
        <w:gridCol w:w="1446"/>
        <w:gridCol w:w="1446"/>
      </w:tblGrid>
      <w:tr w:rsidR="00937697" w:rsidRPr="00F80702" w:rsidTr="00DA51B4">
        <w:tc>
          <w:tcPr>
            <w:tcW w:w="396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both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2.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3.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lastRenderedPageBreak/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>к Требованиям к программе в области энергосбережения и повышения энергетической эффективности ООО «</w:t>
      </w:r>
      <w:r w:rsidR="00937697">
        <w:rPr>
          <w:b w:val="0"/>
          <w:sz w:val="28"/>
          <w:szCs w:val="28"/>
        </w:rPr>
        <w:t>Марлин</w:t>
      </w:r>
      <w:r w:rsidRPr="006036BA">
        <w:rPr>
          <w:b w:val="0"/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37697" w:rsidRPr="00937697" w:rsidRDefault="00937697" w:rsidP="00937697">
      <w:pPr>
        <w:spacing w:line="276" w:lineRule="auto"/>
        <w:jc w:val="center"/>
        <w:rPr>
          <w:b/>
          <w:szCs w:val="28"/>
        </w:rPr>
      </w:pPr>
      <w:r w:rsidRPr="00937697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937697" w:rsidRPr="00937697" w:rsidRDefault="00937697" w:rsidP="00937697">
      <w:pPr>
        <w:spacing w:line="276" w:lineRule="auto"/>
        <w:jc w:val="center"/>
        <w:rPr>
          <w:b/>
          <w:szCs w:val="28"/>
        </w:rPr>
      </w:pPr>
    </w:p>
    <w:p w:rsidR="00937697" w:rsidRPr="00937697" w:rsidRDefault="00937697" w:rsidP="009376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37697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внедрению энергосберегающих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сокращению потерь электрической энергии при её передаче;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937697" w:rsidP="00937697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937697">
        <w:rPr>
          <w:b w:val="0"/>
          <w:bCs w:val="0"/>
          <w:kern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37697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4C5A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9278-3293-4305-8CE8-97DF69F1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1312</Words>
  <Characters>10948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12236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Кулик Альбина Федоровна</cp:lastModifiedBy>
  <cp:revision>3</cp:revision>
  <cp:lastPrinted>2021-01-26T21:55:00Z</cp:lastPrinted>
  <dcterms:created xsi:type="dcterms:W3CDTF">2021-03-04T01:35:00Z</dcterms:created>
  <dcterms:modified xsi:type="dcterms:W3CDTF">2021-03-04T01:49:00Z</dcterms:modified>
</cp:coreProperties>
</file>