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2"/>
        <w:gridCol w:w="283"/>
        <w:gridCol w:w="992"/>
        <w:gridCol w:w="111"/>
        <w:gridCol w:w="5559"/>
      </w:tblGrid>
      <w:tr w:rsidR="00CD5207" w:rsidTr="003676D1">
        <w:trPr>
          <w:trHeight w:val="567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207" w:rsidRDefault="00372B08" w:rsidP="00D0201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6DEC366" wp14:editId="7AFAE044">
                  <wp:extent cx="493024" cy="612000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24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207" w:rsidTr="003676D1">
        <w:trPr>
          <w:trHeight w:val="1134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5207" w:rsidRPr="00D94E37" w:rsidRDefault="00CD5207" w:rsidP="00D94E37">
            <w:pPr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32"/>
                <w:lang w:eastAsia="ru-RU"/>
              </w:rPr>
            </w:pPr>
            <w:r w:rsidRPr="00372B08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32"/>
                <w:lang w:eastAsia="ru-RU"/>
              </w:rPr>
              <w:t>АГЕНТСТВО ЛЕСНОГО ХОЗЯЙСТВА КАМЧАТСКОГО КРАЯ</w:t>
            </w:r>
          </w:p>
          <w:p w:rsidR="00CD5207" w:rsidRPr="00930FC9" w:rsidRDefault="00CD5207" w:rsidP="009147AE">
            <w:pPr>
              <w:spacing w:before="80"/>
              <w:jc w:val="center"/>
              <w:rPr>
                <w:rFonts w:ascii="Times New Roman" w:hAnsi="Times New Roman" w:cs="Times New Roman"/>
              </w:rPr>
            </w:pPr>
            <w:r w:rsidRPr="00372B08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36"/>
                <w:lang w:eastAsia="ru-RU"/>
              </w:rPr>
              <w:t>ПРИКАЗ</w:t>
            </w:r>
          </w:p>
        </w:tc>
      </w:tr>
      <w:tr w:rsidR="006C314E" w:rsidTr="00EA4395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14E" w:rsidRPr="001A6039" w:rsidRDefault="006C314E" w:rsidP="003A27AF">
            <w:pPr>
              <w:spacing w:befor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C314E" w:rsidRPr="00233D01" w:rsidRDefault="006C314E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C314E" w:rsidRPr="00233D01" w:rsidRDefault="006C314E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C314E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14E" w:rsidRPr="001A6039" w:rsidRDefault="00EF7005" w:rsidP="00D94E37">
            <w:pPr>
              <w:spacing w:befor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6C314E" w:rsidRPr="00233D01" w:rsidRDefault="006C314E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14E" w:rsidRPr="00AA3E82" w:rsidRDefault="006C314E" w:rsidP="00D0201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C1CED" w:rsidTr="00162000">
        <w:trPr>
          <w:cantSplit/>
          <w:trHeight w:hRule="exact" w:val="113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CED" w:rsidRPr="00233D01" w:rsidRDefault="00BC1CED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C1CED" w:rsidRPr="00233D01" w:rsidRDefault="00BC1CED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1CED" w:rsidRPr="006C314E" w:rsidRDefault="00BC1CED" w:rsidP="001173BA">
            <w:pPr>
              <w:spacing w:before="40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C1CED" w:rsidRPr="00233D01" w:rsidRDefault="00BC1CED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BC1CED" w:rsidRPr="00233D01" w:rsidRDefault="00BC1CED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CED" w:rsidRPr="00AA3E82" w:rsidRDefault="00BC1CED" w:rsidP="00D0201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C1CED" w:rsidTr="007D6B2D">
        <w:trPr>
          <w:trHeight w:val="151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1CED" w:rsidRPr="00233D01" w:rsidRDefault="00BC1CED" w:rsidP="00BC1CED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00">
              <w:rPr>
                <w:rFonts w:ascii="Times New Roman" w:hAnsi="Times New Roman" w:cs="Times New Roman"/>
                <w:sz w:val="20"/>
                <w:szCs w:val="20"/>
              </w:rPr>
              <w:t>г. Петропавловск-Камчатский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BC1CED" w:rsidRPr="00233D01" w:rsidRDefault="00BC1CED" w:rsidP="001173BA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1CED" w:rsidRPr="00AA3E82" w:rsidRDefault="00BC1CED" w:rsidP="00D0201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E32D7" w:rsidTr="00E85860">
        <w:trPr>
          <w:trHeight w:val="1556"/>
        </w:trPr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0F19" w:rsidRDefault="001C0F19" w:rsidP="000F1FD6">
            <w:pPr>
              <w:rPr>
                <w:rFonts w:ascii="Times New Roman" w:hAnsi="Times New Roman" w:cs="Times New Roman"/>
                <w:sz w:val="28"/>
              </w:rPr>
            </w:pPr>
          </w:p>
          <w:p w:rsidR="006E32D7" w:rsidRPr="00B26E92" w:rsidRDefault="00381FD0" w:rsidP="00E87082">
            <w:pPr>
              <w:tabs>
                <w:tab w:val="center" w:pos="4875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2E190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8708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  <w:r w:rsidR="008865B9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E870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865B9"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Агентства лесного хозяйства и охраны животного мира Камчатского края</w:t>
            </w:r>
            <w:r w:rsidR="00E87082">
              <w:rPr>
                <w:rFonts w:ascii="Times New Roman" w:hAnsi="Times New Roman" w:cs="Times New Roman"/>
                <w:sz w:val="28"/>
                <w:szCs w:val="28"/>
              </w:rPr>
              <w:t xml:space="preserve"> от 25.01.2016 № 31-пр «Об утверждении порядка выдачи согласия на сделки с арендованными лесными участками или арендными правами»</w:t>
            </w:r>
            <w:r w:rsidR="00886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1C0F19" w:rsidRDefault="001C0F19" w:rsidP="000F1F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32D7" w:rsidRPr="00CE3346" w:rsidRDefault="006E32D7" w:rsidP="000F1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6295" w:rsidRDefault="004C6295" w:rsidP="002E19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082" w:rsidRPr="002E190F" w:rsidRDefault="00E87082" w:rsidP="002E19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079" w:rsidRPr="002E190F" w:rsidRDefault="00884CBF" w:rsidP="002E14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90F">
        <w:rPr>
          <w:rFonts w:ascii="Times New Roman" w:hAnsi="Times New Roman" w:cs="Times New Roman"/>
          <w:sz w:val="28"/>
          <w:szCs w:val="28"/>
        </w:rPr>
        <w:t xml:space="preserve">В </w:t>
      </w:r>
      <w:r w:rsidR="00E87082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D27BFC">
        <w:rPr>
          <w:rFonts w:ascii="Times New Roman" w:hAnsi="Times New Roman" w:cs="Times New Roman"/>
          <w:sz w:val="28"/>
          <w:szCs w:val="28"/>
        </w:rPr>
        <w:t>уточнения отдельных положений приложения к приказу Агентства лесного хозяйства и охраны животного мира Камчатского края от 25.01.2016      № 31-пр «Об утверждении порядка выдачи согласия на сделки с арендованными лесными участками или арендными правами»</w:t>
      </w:r>
    </w:p>
    <w:p w:rsidR="00217079" w:rsidRPr="002E190F" w:rsidRDefault="00217079" w:rsidP="002E144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079" w:rsidRPr="002E190F" w:rsidRDefault="00217079" w:rsidP="002E14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90F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217079" w:rsidRPr="002E190F" w:rsidRDefault="00217079" w:rsidP="002E14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268" w:rsidRDefault="002E190F" w:rsidP="002E1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0F">
        <w:rPr>
          <w:rFonts w:ascii="Times New Roman" w:hAnsi="Times New Roman" w:cs="Times New Roman"/>
          <w:sz w:val="28"/>
          <w:szCs w:val="28"/>
        </w:rPr>
        <w:tab/>
        <w:t>1.</w:t>
      </w:r>
      <w:r w:rsidR="00D27BFC">
        <w:rPr>
          <w:rFonts w:ascii="Times New Roman" w:hAnsi="Times New Roman" w:cs="Times New Roman"/>
          <w:sz w:val="28"/>
          <w:szCs w:val="28"/>
        </w:rPr>
        <w:t xml:space="preserve"> Внести </w:t>
      </w:r>
      <w:r w:rsidR="00985856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D27BFC">
        <w:rPr>
          <w:rFonts w:ascii="Times New Roman" w:hAnsi="Times New Roman" w:cs="Times New Roman"/>
          <w:sz w:val="28"/>
          <w:szCs w:val="28"/>
        </w:rPr>
        <w:t>в приложение</w:t>
      </w:r>
      <w:r w:rsidR="005C4268">
        <w:rPr>
          <w:rFonts w:ascii="Times New Roman" w:hAnsi="Times New Roman" w:cs="Times New Roman"/>
          <w:sz w:val="28"/>
          <w:szCs w:val="28"/>
        </w:rPr>
        <w:t xml:space="preserve"> к приказу </w:t>
      </w:r>
      <w:r w:rsidR="00D27BFC">
        <w:rPr>
          <w:rFonts w:ascii="Times New Roman" w:hAnsi="Times New Roman" w:cs="Times New Roman"/>
          <w:sz w:val="28"/>
          <w:szCs w:val="28"/>
        </w:rPr>
        <w:t>Агентства лесного хозяйства и охраны животного мира Камчатского края от 25.01.2016 № 31-пр «Об утверждении порядка выдачи согласия на сделки с арендованными лесными участками или арендными правами»</w:t>
      </w:r>
      <w:r w:rsidR="00985856">
        <w:rPr>
          <w:rFonts w:ascii="Times New Roman" w:hAnsi="Times New Roman" w:cs="Times New Roman"/>
          <w:sz w:val="28"/>
          <w:szCs w:val="28"/>
        </w:rPr>
        <w:t xml:space="preserve"> изложив абзац тринадцатый пункта 4 в следующей редакции:</w:t>
      </w:r>
    </w:p>
    <w:p w:rsidR="00985856" w:rsidRDefault="00985856" w:rsidP="002E1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«– </w:t>
      </w:r>
      <w:r w:rsidR="002E1449">
        <w:rPr>
          <w:rFonts w:ascii="Times New Roman" w:hAnsi="Times New Roman" w:cs="Times New Roman"/>
          <w:sz w:val="28"/>
          <w:szCs w:val="28"/>
        </w:rPr>
        <w:t xml:space="preserve">совершение сделки с правами, предусмотренными частью 6 статьи 71 Лесного кодекса Российской Федерации, по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="002E14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аренды лесного участка</w:t>
      </w:r>
      <w:r w:rsidR="006D2D6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заключе</w:t>
      </w:r>
      <w:r w:rsidR="002E1449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2E1449">
        <w:rPr>
          <w:rFonts w:ascii="Times New Roman" w:eastAsia="Times New Roman" w:hAnsi="Times New Roman" w:cs="Times New Roman"/>
          <w:sz w:val="28"/>
          <w:szCs w:val="20"/>
          <w:lang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после вступления в силу </w:t>
      </w:r>
      <w:r w:rsidR="002E14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 24 статьи 1 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04.02.2021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Лесной кодекс Российской Федерации и отдельные законодательные акты Российской Федерации в части 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совершенствования правового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регулирования лесных отношений»</w:t>
      </w:r>
      <w:r w:rsidR="00FB04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B04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r w:rsidR="00FB04D0">
        <w:rPr>
          <w:rFonts w:ascii="Times New Roman" w:hAnsi="Times New Roman" w:cs="Times New Roman"/>
          <w:sz w:val="28"/>
          <w:szCs w:val="28"/>
        </w:rPr>
        <w:t>победителем</w:t>
      </w:r>
      <w:r w:rsidR="00FB04D0" w:rsidRPr="00A20910">
        <w:rPr>
          <w:rFonts w:ascii="Times New Roman" w:hAnsi="Times New Roman" w:cs="Times New Roman"/>
          <w:sz w:val="28"/>
          <w:szCs w:val="28"/>
        </w:rPr>
        <w:t xml:space="preserve"> торгов или </w:t>
      </w:r>
      <w:r w:rsidR="00FB04D0">
        <w:rPr>
          <w:rFonts w:ascii="Times New Roman" w:hAnsi="Times New Roman" w:cs="Times New Roman"/>
          <w:sz w:val="28"/>
          <w:szCs w:val="28"/>
        </w:rPr>
        <w:t>с единственным</w:t>
      </w:r>
      <w:r w:rsidR="00FB04D0" w:rsidRPr="00A20910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B04D0">
        <w:rPr>
          <w:rFonts w:ascii="Times New Roman" w:hAnsi="Times New Roman" w:cs="Times New Roman"/>
          <w:sz w:val="28"/>
          <w:szCs w:val="28"/>
        </w:rPr>
        <w:t>ом торгов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F31AC4" w:rsidRDefault="00F31AC4" w:rsidP="002E1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5856">
        <w:rPr>
          <w:rFonts w:ascii="Times New Roman" w:hAnsi="Times New Roman" w:cs="Times New Roman"/>
          <w:sz w:val="28"/>
          <w:szCs w:val="28"/>
        </w:rPr>
        <w:t>2. </w:t>
      </w:r>
      <w:r w:rsidR="001443A5">
        <w:rPr>
          <w:rFonts w:ascii="Times New Roman" w:hAnsi="Times New Roman" w:cs="Times New Roman"/>
          <w:sz w:val="28"/>
          <w:szCs w:val="28"/>
        </w:rPr>
        <w:t>Н</w:t>
      </w:r>
      <w:r w:rsidR="00985856">
        <w:rPr>
          <w:rFonts w:ascii="Times New Roman" w:hAnsi="Times New Roman" w:cs="Times New Roman"/>
          <w:sz w:val="28"/>
          <w:szCs w:val="28"/>
        </w:rPr>
        <w:t>астоящий приказ вступает в силу через 10 дней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079" w:rsidRPr="002E190F" w:rsidRDefault="00217079" w:rsidP="002E1449">
      <w:pPr>
        <w:pStyle w:val="ac"/>
        <w:spacing w:line="360" w:lineRule="auto"/>
        <w:ind w:firstLine="0"/>
        <w:rPr>
          <w:szCs w:val="28"/>
        </w:rPr>
      </w:pPr>
    </w:p>
    <w:p w:rsidR="00790F45" w:rsidRPr="002E190F" w:rsidRDefault="00790F45" w:rsidP="002E1449">
      <w:pPr>
        <w:pStyle w:val="ac"/>
        <w:spacing w:line="360" w:lineRule="auto"/>
        <w:ind w:firstLine="0"/>
        <w:rPr>
          <w:szCs w:val="28"/>
        </w:rPr>
      </w:pPr>
    </w:p>
    <w:p w:rsidR="0098181D" w:rsidRPr="002E190F" w:rsidRDefault="0098181D" w:rsidP="002E1449">
      <w:pPr>
        <w:pStyle w:val="ac"/>
        <w:spacing w:line="360" w:lineRule="auto"/>
        <w:ind w:firstLine="0"/>
        <w:rPr>
          <w:szCs w:val="28"/>
        </w:rPr>
      </w:pPr>
    </w:p>
    <w:p w:rsidR="00286D71" w:rsidRPr="002E190F" w:rsidRDefault="00360078" w:rsidP="002E1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190F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2E190F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217079" w:rsidRPr="002E190F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="00217079" w:rsidRPr="002E190F">
        <w:rPr>
          <w:rFonts w:ascii="Times New Roman" w:hAnsi="Times New Roman" w:cs="Times New Roman"/>
          <w:sz w:val="28"/>
          <w:szCs w:val="28"/>
        </w:rPr>
        <w:tab/>
      </w:r>
      <w:r w:rsidR="00217079" w:rsidRPr="002E190F">
        <w:rPr>
          <w:rFonts w:ascii="Times New Roman" w:hAnsi="Times New Roman" w:cs="Times New Roman"/>
          <w:sz w:val="28"/>
          <w:szCs w:val="28"/>
        </w:rPr>
        <w:tab/>
      </w:r>
      <w:r w:rsidR="00217079" w:rsidRPr="002E190F">
        <w:rPr>
          <w:rFonts w:ascii="Times New Roman" w:hAnsi="Times New Roman" w:cs="Times New Roman"/>
          <w:sz w:val="28"/>
          <w:szCs w:val="28"/>
        </w:rPr>
        <w:tab/>
      </w:r>
      <w:r w:rsidR="00941AF6" w:rsidRPr="002E190F">
        <w:rPr>
          <w:rFonts w:ascii="Times New Roman" w:hAnsi="Times New Roman" w:cs="Times New Roman"/>
          <w:sz w:val="28"/>
          <w:szCs w:val="28"/>
        </w:rPr>
        <w:t xml:space="preserve">     </w:t>
      </w:r>
      <w:r w:rsidR="00217079" w:rsidRPr="002E190F">
        <w:rPr>
          <w:rFonts w:ascii="Times New Roman" w:hAnsi="Times New Roman" w:cs="Times New Roman"/>
          <w:sz w:val="28"/>
          <w:szCs w:val="28"/>
        </w:rPr>
        <w:tab/>
      </w:r>
      <w:r w:rsidR="00941AF6" w:rsidRPr="002E19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90F45" w:rsidRPr="002E190F">
        <w:rPr>
          <w:rFonts w:ascii="Times New Roman" w:hAnsi="Times New Roman" w:cs="Times New Roman"/>
          <w:sz w:val="28"/>
          <w:szCs w:val="28"/>
        </w:rPr>
        <w:t xml:space="preserve">   </w:t>
      </w:r>
      <w:r w:rsidR="00941AF6" w:rsidRPr="002E190F">
        <w:rPr>
          <w:rFonts w:ascii="Times New Roman" w:hAnsi="Times New Roman" w:cs="Times New Roman"/>
          <w:sz w:val="28"/>
          <w:szCs w:val="28"/>
        </w:rPr>
        <w:t xml:space="preserve">  </w:t>
      </w:r>
      <w:r w:rsidR="00317FCD">
        <w:rPr>
          <w:rFonts w:ascii="Times New Roman" w:hAnsi="Times New Roman" w:cs="Times New Roman"/>
          <w:sz w:val="28"/>
          <w:szCs w:val="28"/>
        </w:rPr>
        <w:t xml:space="preserve"> Д.Б. Щипицын</w:t>
      </w:r>
    </w:p>
    <w:p w:rsidR="00381FD0" w:rsidRDefault="00381FD0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FB04D0" w:rsidRDefault="00FB04D0" w:rsidP="00381FD0">
      <w:pPr>
        <w:spacing w:after="0" w:line="240" w:lineRule="auto"/>
        <w:rPr>
          <w:rFonts w:ascii="Times New Roman" w:hAnsi="Times New Roman" w:cs="Times New Roman"/>
        </w:rPr>
      </w:pPr>
    </w:p>
    <w:p w:rsidR="00FB04D0" w:rsidRDefault="00FB04D0" w:rsidP="00381FD0">
      <w:pPr>
        <w:spacing w:after="0" w:line="240" w:lineRule="auto"/>
        <w:rPr>
          <w:rFonts w:ascii="Times New Roman" w:hAnsi="Times New Roman" w:cs="Times New Roman"/>
        </w:rPr>
      </w:pPr>
    </w:p>
    <w:p w:rsidR="00FB04D0" w:rsidRDefault="00FB04D0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381FD0">
      <w:pPr>
        <w:spacing w:after="0" w:line="240" w:lineRule="auto"/>
        <w:rPr>
          <w:rFonts w:ascii="Times New Roman" w:hAnsi="Times New Roman" w:cs="Times New Roman"/>
        </w:rPr>
      </w:pPr>
    </w:p>
    <w:p w:rsidR="00626D0A" w:rsidRDefault="00626D0A" w:rsidP="00626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D0A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626D0A" w:rsidRDefault="00626D0A" w:rsidP="00626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приказа Агентства лесного хозяйства Камчатского края «О внесении изменения в приложение к приказу Агентства лесного хозяйства и охраны животного мира Камчатского края от 25.01.2016 № 31-пр «Об утверждении порядка выдачи согласия на сделки с арендованными лесными участками или арендными правами»</w:t>
      </w:r>
    </w:p>
    <w:p w:rsidR="004463D6" w:rsidRDefault="004463D6" w:rsidP="00626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3D6" w:rsidRDefault="004463D6" w:rsidP="00446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Проект приказа </w:t>
      </w:r>
      <w:r>
        <w:rPr>
          <w:rFonts w:ascii="Times New Roman" w:hAnsi="Times New Roman" w:cs="Times New Roman"/>
          <w:sz w:val="28"/>
          <w:szCs w:val="28"/>
        </w:rPr>
        <w:t>Агентства лесного хозяйства Камчатского края «О внесении изменения в приложение к приказу Агентства лесного хозяйства и охраны животного мира Камчатского края от 25.01.2016 № 31-пр «Об утверждении порядка выдачи согласия на сделки с арендованными лесными участками или арендными правами»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E89">
        <w:rPr>
          <w:rFonts w:ascii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>в целях конкретизации случаев принятия решения о выдачи согласия.</w:t>
      </w:r>
    </w:p>
    <w:p w:rsidR="004463D6" w:rsidRDefault="004463D6" w:rsidP="00446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04 февраля 2021 года </w:t>
      </w:r>
      <w:r w:rsidR="00E22CB5">
        <w:rPr>
          <w:rFonts w:ascii="Times New Roman" w:eastAsia="Times New Roman" w:hAnsi="Times New Roman" w:cs="Times New Roman"/>
          <w:sz w:val="28"/>
          <w:szCs w:val="20"/>
          <w:lang w:eastAsia="ru-RU"/>
        </w:rPr>
        <w:t>(за исключением отельных положений)</w:t>
      </w:r>
      <w:r w:rsidR="00E22C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вступил в силу 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 от 04.02.2021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Лесной кодекс Российской Федерации и отдельные законодательные акты Российской Федерации в части совершенствования правового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регулирования лесных отношений»</w:t>
      </w:r>
      <w:r w:rsidR="00E22C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– Закон № 3-ФЗ)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B64" w:rsidRDefault="004463D6" w:rsidP="00546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24 статьи 1 </w:t>
      </w:r>
      <w:r w:rsidR="003C2E99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  <w:r w:rsidRPr="009858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внесены изменения в </w:t>
      </w:r>
      <w:r>
        <w:rPr>
          <w:rFonts w:ascii="Times New Roman" w:hAnsi="Times New Roman" w:cs="Times New Roman"/>
          <w:sz w:val="28"/>
          <w:szCs w:val="28"/>
        </w:rPr>
        <w:t>часть 6 статьи 71 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 Так с 04 февраля 2021</w:t>
      </w:r>
      <w:r w:rsidR="00546B64">
        <w:rPr>
          <w:rFonts w:ascii="Times New Roman" w:hAnsi="Times New Roman" w:cs="Times New Roman"/>
          <w:sz w:val="28"/>
          <w:szCs w:val="28"/>
        </w:rPr>
        <w:t xml:space="preserve"> года, согласно внесенным изменениям, п</w:t>
      </w:r>
      <w:r w:rsidR="00546B64">
        <w:rPr>
          <w:rFonts w:ascii="Times New Roman" w:hAnsi="Times New Roman" w:cs="Times New Roman"/>
          <w:sz w:val="28"/>
          <w:szCs w:val="28"/>
        </w:rPr>
        <w:t>обедитель торгов или единственный участник торгов, с которыми заключен договор аренды лесного участка, находящегося в государственной или муниципальной собственности не вправе сдавать арендованный лесной участок в субаренду</w:t>
      </w:r>
      <w:r w:rsidR="00546B64">
        <w:rPr>
          <w:rFonts w:ascii="Times New Roman" w:hAnsi="Times New Roman" w:cs="Times New Roman"/>
          <w:sz w:val="28"/>
          <w:szCs w:val="28"/>
        </w:rPr>
        <w:t xml:space="preserve"> и </w:t>
      </w:r>
      <w:r w:rsidR="00546B64">
        <w:rPr>
          <w:rFonts w:ascii="Times New Roman" w:hAnsi="Times New Roman" w:cs="Times New Roman"/>
          <w:sz w:val="28"/>
          <w:szCs w:val="28"/>
        </w:rPr>
        <w:t>передавать свои права и обязанности по договору аренды лесного участка другим лицам (перенаем).</w:t>
      </w:r>
    </w:p>
    <w:p w:rsidR="00546B64" w:rsidRDefault="00546B64" w:rsidP="00FF1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FF1308">
        <w:rPr>
          <w:rFonts w:ascii="Times New Roman" w:hAnsi="Times New Roman" w:cs="Times New Roman"/>
          <w:sz w:val="28"/>
          <w:szCs w:val="28"/>
        </w:rPr>
        <w:t xml:space="preserve"> указанное ограничение не распространяется на сделки с арендными правами, </w:t>
      </w:r>
      <w:r w:rsidR="00A467AE">
        <w:rPr>
          <w:rFonts w:ascii="Times New Roman" w:hAnsi="Times New Roman" w:cs="Times New Roman"/>
          <w:sz w:val="28"/>
          <w:szCs w:val="28"/>
        </w:rPr>
        <w:t xml:space="preserve">касающиеся </w:t>
      </w:r>
      <w:r w:rsidR="00FF1308">
        <w:rPr>
          <w:rFonts w:ascii="Times New Roman" w:hAnsi="Times New Roman" w:cs="Times New Roman"/>
          <w:sz w:val="28"/>
          <w:szCs w:val="28"/>
        </w:rPr>
        <w:t xml:space="preserve">передачи арендного права в залог и </w:t>
      </w:r>
      <w:r w:rsidR="00FF1308">
        <w:rPr>
          <w:rFonts w:ascii="Times New Roman" w:hAnsi="Times New Roman" w:cs="Times New Roman"/>
          <w:sz w:val="28"/>
          <w:szCs w:val="28"/>
        </w:rPr>
        <w:t>вн</w:t>
      </w:r>
      <w:r w:rsidR="00FF1308">
        <w:rPr>
          <w:rFonts w:ascii="Times New Roman" w:hAnsi="Times New Roman" w:cs="Times New Roman"/>
          <w:sz w:val="28"/>
          <w:szCs w:val="28"/>
        </w:rPr>
        <w:t>есения</w:t>
      </w:r>
      <w:r w:rsidR="00FF1308">
        <w:rPr>
          <w:rFonts w:ascii="Times New Roman" w:hAnsi="Times New Roman" w:cs="Times New Roman"/>
          <w:sz w:val="28"/>
          <w:szCs w:val="28"/>
        </w:rPr>
        <w:t xml:space="preserve"> арендн</w:t>
      </w:r>
      <w:r w:rsidR="00FF1308">
        <w:rPr>
          <w:rFonts w:ascii="Times New Roman" w:hAnsi="Times New Roman" w:cs="Times New Roman"/>
          <w:sz w:val="28"/>
          <w:szCs w:val="28"/>
        </w:rPr>
        <w:t>ого</w:t>
      </w:r>
      <w:r w:rsidR="00FF1308">
        <w:rPr>
          <w:rFonts w:ascii="Times New Roman" w:hAnsi="Times New Roman" w:cs="Times New Roman"/>
          <w:sz w:val="28"/>
          <w:szCs w:val="28"/>
        </w:rPr>
        <w:t xml:space="preserve"> права в качестве вклада в уставный капитал хозяйственных товариществ и обществ или паевого взноса в производственный кооператив</w:t>
      </w:r>
      <w:r w:rsidR="00FF1308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FF130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04.12.2006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201-ФЗ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="00FF13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CB5" w:rsidRDefault="00E22CB5" w:rsidP="00E22C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соответствии с частью 2 статьи 422 Гражданского кодекса Российской Федерации е</w:t>
      </w:r>
      <w:r>
        <w:rPr>
          <w:rFonts w:ascii="Times New Roman" w:hAnsi="Times New Roman" w:cs="Times New Roman"/>
          <w:sz w:val="28"/>
          <w:szCs w:val="28"/>
        </w:rPr>
        <w:t>сли после заключения договора принят закон, устанавливающий обязательные для сторон правила иные, чем те, которые действовали при заключении договора, условия заключенного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</w:p>
    <w:p w:rsidR="00FF1308" w:rsidRDefault="0092261A" w:rsidP="00FF1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5 Закона № 3-ФЗ, которой установлен порядок и сроки вступления в силу данного закона, не установлено, что нов</w:t>
      </w:r>
      <w:r w:rsidR="00644E8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редакци</w:t>
      </w:r>
      <w:r w:rsidR="00644E8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="00644E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6 статьи 71 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из ранее заключенных договоров, как и любого иного правила, указывающего на обратную силу этого положения Лесного кодекса Российской Федерации.</w:t>
      </w:r>
    </w:p>
    <w:p w:rsidR="00FF1308" w:rsidRDefault="00456028" w:rsidP="00FC4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арендаторов на передачу </w:t>
      </w:r>
      <w:r>
        <w:rPr>
          <w:rFonts w:ascii="Times New Roman" w:hAnsi="Times New Roman" w:cs="Times New Roman"/>
          <w:sz w:val="28"/>
          <w:szCs w:val="28"/>
        </w:rPr>
        <w:t>арендованн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лесно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субаренду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чу</w:t>
      </w:r>
      <w:r>
        <w:rPr>
          <w:rFonts w:ascii="Times New Roman" w:hAnsi="Times New Roman" w:cs="Times New Roman"/>
          <w:sz w:val="28"/>
          <w:szCs w:val="28"/>
        </w:rPr>
        <w:t xml:space="preserve"> свои права и обязанности по договору аренды лесного участка другим лицам (перенаем)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</w:t>
      </w:r>
      <w:r w:rsidR="00667741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67741">
        <w:rPr>
          <w:rFonts w:ascii="Times New Roman" w:hAnsi="Times New Roman" w:cs="Times New Roman"/>
          <w:sz w:val="28"/>
          <w:szCs w:val="28"/>
        </w:rPr>
        <w:t xml:space="preserve"> 5 Федерального закона от 04.12.2006 № 201-ФЗ «О введении в действие Лесного </w:t>
      </w:r>
      <w:r w:rsidR="00667741"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 Также в договор</w:t>
      </w:r>
      <w:r w:rsidR="00961B7F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аренды лесного участка, </w:t>
      </w:r>
      <w:r w:rsidR="00961B7F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>
        <w:rPr>
          <w:rFonts w:ascii="Times New Roman" w:hAnsi="Times New Roman" w:cs="Times New Roman"/>
          <w:sz w:val="28"/>
          <w:szCs w:val="28"/>
        </w:rPr>
        <w:t>до 04 февраля 2021 года</w:t>
      </w:r>
      <w:r w:rsidR="00FC4A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A99">
        <w:rPr>
          <w:rFonts w:ascii="Times New Roman" w:hAnsi="Times New Roman" w:cs="Times New Roman"/>
          <w:sz w:val="28"/>
          <w:szCs w:val="28"/>
        </w:rPr>
        <w:t xml:space="preserve">прописано положение, что арендатор с согласия арендодателя вправе </w:t>
      </w:r>
      <w:r w:rsidR="00FC4A99">
        <w:rPr>
          <w:rFonts w:ascii="Times New Roman" w:hAnsi="Times New Roman" w:cs="Times New Roman"/>
          <w:sz w:val="28"/>
          <w:szCs w:val="28"/>
        </w:rPr>
        <w:t>соверш</w:t>
      </w:r>
      <w:r w:rsidR="00FC4A99">
        <w:rPr>
          <w:rFonts w:ascii="Times New Roman" w:hAnsi="Times New Roman" w:cs="Times New Roman"/>
          <w:sz w:val="28"/>
          <w:szCs w:val="28"/>
        </w:rPr>
        <w:t>ать</w:t>
      </w:r>
      <w:r w:rsidR="00FC4A99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FC4A99">
        <w:rPr>
          <w:rFonts w:ascii="Times New Roman" w:hAnsi="Times New Roman" w:cs="Times New Roman"/>
          <w:sz w:val="28"/>
          <w:szCs w:val="28"/>
        </w:rPr>
        <w:t xml:space="preserve">я, предусмотренные статьей </w:t>
      </w:r>
      <w:r w:rsidR="00FC4A99">
        <w:rPr>
          <w:rFonts w:ascii="Times New Roman" w:hAnsi="Times New Roman" w:cs="Times New Roman"/>
          <w:sz w:val="28"/>
          <w:szCs w:val="28"/>
        </w:rPr>
        <w:t xml:space="preserve">Федерального закона от 04.12.2006 </w:t>
      </w:r>
      <w:r w:rsidR="00FC4A99">
        <w:rPr>
          <w:rFonts w:ascii="Times New Roman" w:hAnsi="Times New Roman" w:cs="Times New Roman"/>
          <w:sz w:val="28"/>
          <w:szCs w:val="28"/>
        </w:rPr>
        <w:t>№</w:t>
      </w:r>
      <w:r w:rsidR="00FC4A99">
        <w:rPr>
          <w:rFonts w:ascii="Times New Roman" w:hAnsi="Times New Roman" w:cs="Times New Roman"/>
          <w:sz w:val="28"/>
          <w:szCs w:val="28"/>
        </w:rPr>
        <w:t xml:space="preserve"> 201-ФЗ </w:t>
      </w:r>
      <w:r w:rsidR="00FC4A99">
        <w:rPr>
          <w:rFonts w:ascii="Times New Roman" w:hAnsi="Times New Roman" w:cs="Times New Roman"/>
          <w:sz w:val="28"/>
          <w:szCs w:val="28"/>
        </w:rPr>
        <w:t>«</w:t>
      </w:r>
      <w:r w:rsidR="00FC4A99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FC4A99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в том числе и </w:t>
      </w:r>
      <w:r w:rsidR="00FC4A99">
        <w:rPr>
          <w:rFonts w:ascii="Times New Roman" w:hAnsi="Times New Roman" w:cs="Times New Roman"/>
          <w:sz w:val="28"/>
          <w:szCs w:val="28"/>
        </w:rPr>
        <w:t>сдавать арендованный лесной участок в субаренду и передавать свои права и обязанности по договору аренды лесного участка другим лицам (перенаем)</w:t>
      </w:r>
      <w:r w:rsidR="00FC4A99">
        <w:rPr>
          <w:rFonts w:ascii="Times New Roman" w:hAnsi="Times New Roman" w:cs="Times New Roman"/>
          <w:sz w:val="28"/>
          <w:szCs w:val="28"/>
        </w:rPr>
        <w:t>.</w:t>
      </w:r>
    </w:p>
    <w:p w:rsidR="00FC4A99" w:rsidRPr="00AB2473" w:rsidRDefault="00FC4A99" w:rsidP="00AB2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положения П</w:t>
      </w:r>
      <w:r>
        <w:rPr>
          <w:rFonts w:ascii="Times New Roman" w:hAnsi="Times New Roman" w:cs="Times New Roman"/>
          <w:sz w:val="28"/>
          <w:szCs w:val="28"/>
        </w:rPr>
        <w:t>орядка выдачи согласия на сделки с арендованными лесными участками или арендными правами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приказом </w:t>
      </w:r>
      <w:r w:rsidR="002E68ED">
        <w:rPr>
          <w:rFonts w:ascii="Times New Roman" w:hAnsi="Times New Roman" w:cs="Times New Roman"/>
          <w:sz w:val="28"/>
          <w:szCs w:val="28"/>
        </w:rPr>
        <w:t>Агентства лесного хозяйства и охраны животного мира Камчатского края от 25.01.2016 № 31-пр</w:t>
      </w:r>
      <w:r w:rsidR="002E68ED">
        <w:rPr>
          <w:rFonts w:ascii="Times New Roman" w:hAnsi="Times New Roman" w:cs="Times New Roman"/>
          <w:sz w:val="28"/>
          <w:szCs w:val="28"/>
        </w:rPr>
        <w:t xml:space="preserve"> (с изменениями от 24 февраля 2021 года),        подлежат корректировки в части конкретизации прав </w:t>
      </w:r>
      <w:r w:rsidR="002E68ED">
        <w:rPr>
          <w:rFonts w:ascii="Times New Roman" w:hAnsi="Times New Roman" w:cs="Times New Roman"/>
          <w:sz w:val="28"/>
          <w:szCs w:val="28"/>
        </w:rPr>
        <w:t>на сделки с арендованными лесными участками или арендными правами</w:t>
      </w:r>
      <w:r w:rsidR="002E68ED">
        <w:rPr>
          <w:rFonts w:ascii="Times New Roman" w:hAnsi="Times New Roman" w:cs="Times New Roman"/>
          <w:sz w:val="28"/>
          <w:szCs w:val="28"/>
        </w:rPr>
        <w:t xml:space="preserve">, по которым введены ограничения, </w:t>
      </w:r>
      <w:r w:rsidR="002E68ED" w:rsidRPr="00AB2473">
        <w:rPr>
          <w:rFonts w:ascii="Times New Roman" w:hAnsi="Times New Roman" w:cs="Times New Roman"/>
          <w:sz w:val="28"/>
          <w:szCs w:val="28"/>
        </w:rPr>
        <w:t>а также в отношении договоров аренды лесных участков, заключенных                  до 04 февраля 2021 года.</w:t>
      </w:r>
    </w:p>
    <w:p w:rsidR="00AB2473" w:rsidRPr="00AB2473" w:rsidRDefault="00AB2473" w:rsidP="00AB2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73">
        <w:rPr>
          <w:rFonts w:ascii="Times New Roman" w:hAnsi="Times New Roman" w:cs="Times New Roman"/>
          <w:sz w:val="28"/>
          <w:szCs w:val="28"/>
        </w:rPr>
        <w:t>Реализация настоящего постановления Правительства Камчатского края не потребует дополнительного финансирования из краевого бюджета.</w:t>
      </w:r>
    </w:p>
    <w:p w:rsidR="00AB2473" w:rsidRPr="00AB2473" w:rsidRDefault="00AB2473" w:rsidP="00AB2473">
      <w:pPr>
        <w:pStyle w:val="a4"/>
        <w:ind w:firstLine="709"/>
        <w:jc w:val="both"/>
      </w:pPr>
      <w:r w:rsidRPr="00AB2473">
        <w:t xml:space="preserve">В соответствии с постановлением Правительства Камчатского края </w:t>
      </w:r>
      <w:r>
        <w:t xml:space="preserve">             </w:t>
      </w:r>
      <w:r w:rsidRPr="00AB2473">
        <w:t>от 18</w:t>
      </w:r>
      <w:r>
        <w:t xml:space="preserve"> мая </w:t>
      </w:r>
      <w:r w:rsidRPr="00AB2473">
        <w:t>2010</w:t>
      </w:r>
      <w:r>
        <w:t xml:space="preserve"> года</w:t>
      </w:r>
      <w:r w:rsidRPr="00AB2473">
        <w:t xml:space="preserve"> № 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 настоящий проект постановления Правительства Камчатского края </w:t>
      </w:r>
      <w:r w:rsidR="0069715A">
        <w:t>16</w:t>
      </w:r>
      <w:r w:rsidRPr="00AB2473">
        <w:t xml:space="preserve"> </w:t>
      </w:r>
      <w:r w:rsidR="0069715A">
        <w:t>марта</w:t>
      </w:r>
      <w:r w:rsidRPr="00AB2473">
        <w:t xml:space="preserve"> 202</w:t>
      </w:r>
      <w:r w:rsidR="0069715A">
        <w:t>1</w:t>
      </w:r>
      <w:r w:rsidRPr="00AB2473">
        <w:t xml:space="preserve">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AB2473">
        <w:t>httрs</w:t>
      </w:r>
      <w:proofErr w:type="spellEnd"/>
      <w:r w:rsidRPr="00AB2473">
        <w:t xml:space="preserve">://npaproject.kamgov.ru) в срок по </w:t>
      </w:r>
      <w:r w:rsidR="00071D9B">
        <w:t>24</w:t>
      </w:r>
      <w:r w:rsidR="0069715A">
        <w:t xml:space="preserve"> марта</w:t>
      </w:r>
      <w:r w:rsidRPr="00AB2473">
        <w:t xml:space="preserve"> 202</w:t>
      </w:r>
      <w:r w:rsidR="0069715A">
        <w:t>1</w:t>
      </w:r>
      <w:r w:rsidRPr="00AB2473">
        <w:t xml:space="preserve"> года. </w:t>
      </w:r>
    </w:p>
    <w:p w:rsidR="00AB2473" w:rsidRPr="00AB2473" w:rsidRDefault="00AB2473" w:rsidP="00AB2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B2473" w:rsidRPr="00AB2473" w:rsidSect="00790F45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4C2" w:rsidRDefault="00DE04C2" w:rsidP="00895E81">
      <w:pPr>
        <w:spacing w:after="0" w:line="240" w:lineRule="auto"/>
      </w:pPr>
      <w:r>
        <w:separator/>
      </w:r>
    </w:p>
  </w:endnote>
  <w:endnote w:type="continuationSeparator" w:id="0">
    <w:p w:rsidR="00DE04C2" w:rsidRDefault="00DE04C2" w:rsidP="0089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4C2" w:rsidRDefault="00DE04C2" w:rsidP="00895E81">
      <w:pPr>
        <w:spacing w:after="0" w:line="240" w:lineRule="auto"/>
      </w:pPr>
      <w:r>
        <w:separator/>
      </w:r>
    </w:p>
  </w:footnote>
  <w:footnote w:type="continuationSeparator" w:id="0">
    <w:p w:rsidR="00DE04C2" w:rsidRDefault="00DE04C2" w:rsidP="0089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81" w:rsidRDefault="00895E8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4D"/>
    <w:rsid w:val="00012794"/>
    <w:rsid w:val="00040057"/>
    <w:rsid w:val="0004103D"/>
    <w:rsid w:val="0004551B"/>
    <w:rsid w:val="000467FA"/>
    <w:rsid w:val="00071D9B"/>
    <w:rsid w:val="00085828"/>
    <w:rsid w:val="000B134D"/>
    <w:rsid w:val="000B4826"/>
    <w:rsid w:val="000F1FD6"/>
    <w:rsid w:val="000F55C9"/>
    <w:rsid w:val="000F6707"/>
    <w:rsid w:val="00100CE4"/>
    <w:rsid w:val="0011594B"/>
    <w:rsid w:val="00115EB0"/>
    <w:rsid w:val="001173BA"/>
    <w:rsid w:val="00124F1A"/>
    <w:rsid w:val="00126C7D"/>
    <w:rsid w:val="00131D60"/>
    <w:rsid w:val="001414E4"/>
    <w:rsid w:val="001443A5"/>
    <w:rsid w:val="00162000"/>
    <w:rsid w:val="00187B18"/>
    <w:rsid w:val="001A6039"/>
    <w:rsid w:val="001C0F19"/>
    <w:rsid w:val="001C64E9"/>
    <w:rsid w:val="001E44C9"/>
    <w:rsid w:val="0020479A"/>
    <w:rsid w:val="00204F3C"/>
    <w:rsid w:val="0021493D"/>
    <w:rsid w:val="00217079"/>
    <w:rsid w:val="0022306D"/>
    <w:rsid w:val="00230417"/>
    <w:rsid w:val="00233830"/>
    <w:rsid w:val="00233D01"/>
    <w:rsid w:val="00262482"/>
    <w:rsid w:val="002718B9"/>
    <w:rsid w:val="00272419"/>
    <w:rsid w:val="00286D71"/>
    <w:rsid w:val="002B2FE2"/>
    <w:rsid w:val="002B533B"/>
    <w:rsid w:val="002E1449"/>
    <w:rsid w:val="002E190F"/>
    <w:rsid w:val="002E3E02"/>
    <w:rsid w:val="002E68ED"/>
    <w:rsid w:val="002F0AF9"/>
    <w:rsid w:val="00307B9A"/>
    <w:rsid w:val="00317FCD"/>
    <w:rsid w:val="00332B15"/>
    <w:rsid w:val="00340589"/>
    <w:rsid w:val="00342538"/>
    <w:rsid w:val="00360078"/>
    <w:rsid w:val="003676D1"/>
    <w:rsid w:val="003729DC"/>
    <w:rsid w:val="00372B08"/>
    <w:rsid w:val="00381FD0"/>
    <w:rsid w:val="003A27AF"/>
    <w:rsid w:val="003C2E99"/>
    <w:rsid w:val="003E1D6A"/>
    <w:rsid w:val="003F502F"/>
    <w:rsid w:val="004027E5"/>
    <w:rsid w:val="00413695"/>
    <w:rsid w:val="00415C01"/>
    <w:rsid w:val="00427579"/>
    <w:rsid w:val="00435E98"/>
    <w:rsid w:val="004426EA"/>
    <w:rsid w:val="004463D6"/>
    <w:rsid w:val="00450978"/>
    <w:rsid w:val="00456028"/>
    <w:rsid w:val="00475158"/>
    <w:rsid w:val="004C4C33"/>
    <w:rsid w:val="004C6295"/>
    <w:rsid w:val="004D0BAA"/>
    <w:rsid w:val="004D119D"/>
    <w:rsid w:val="004F5A65"/>
    <w:rsid w:val="00515164"/>
    <w:rsid w:val="005340E3"/>
    <w:rsid w:val="00546B64"/>
    <w:rsid w:val="00547380"/>
    <w:rsid w:val="005718C0"/>
    <w:rsid w:val="00576050"/>
    <w:rsid w:val="00594099"/>
    <w:rsid w:val="00595EDB"/>
    <w:rsid w:val="00597FBE"/>
    <w:rsid w:val="005B2519"/>
    <w:rsid w:val="005C4268"/>
    <w:rsid w:val="005F3A6E"/>
    <w:rsid w:val="0060211C"/>
    <w:rsid w:val="00607FD7"/>
    <w:rsid w:val="00611E4C"/>
    <w:rsid w:val="006136EA"/>
    <w:rsid w:val="00626D0A"/>
    <w:rsid w:val="00644E89"/>
    <w:rsid w:val="00667741"/>
    <w:rsid w:val="006859A7"/>
    <w:rsid w:val="006936DB"/>
    <w:rsid w:val="0069715A"/>
    <w:rsid w:val="006A21AD"/>
    <w:rsid w:val="006C19CA"/>
    <w:rsid w:val="006C314E"/>
    <w:rsid w:val="006D2643"/>
    <w:rsid w:val="006D2D6F"/>
    <w:rsid w:val="006E32D7"/>
    <w:rsid w:val="006E44BC"/>
    <w:rsid w:val="006F6C26"/>
    <w:rsid w:val="0070265A"/>
    <w:rsid w:val="00705E67"/>
    <w:rsid w:val="00790F45"/>
    <w:rsid w:val="00792BD4"/>
    <w:rsid w:val="00794546"/>
    <w:rsid w:val="007A5D01"/>
    <w:rsid w:val="007A7DD2"/>
    <w:rsid w:val="007D5234"/>
    <w:rsid w:val="007D6B2D"/>
    <w:rsid w:val="008050F5"/>
    <w:rsid w:val="00817055"/>
    <w:rsid w:val="008215CF"/>
    <w:rsid w:val="008232DE"/>
    <w:rsid w:val="008339FF"/>
    <w:rsid w:val="008371A3"/>
    <w:rsid w:val="008628C3"/>
    <w:rsid w:val="00882A4C"/>
    <w:rsid w:val="00884CBF"/>
    <w:rsid w:val="00885C13"/>
    <w:rsid w:val="008865B9"/>
    <w:rsid w:val="00891C14"/>
    <w:rsid w:val="00895E81"/>
    <w:rsid w:val="008B11CB"/>
    <w:rsid w:val="008B2CDC"/>
    <w:rsid w:val="008C2E64"/>
    <w:rsid w:val="008D16A9"/>
    <w:rsid w:val="009147AE"/>
    <w:rsid w:val="0092261A"/>
    <w:rsid w:val="009250EC"/>
    <w:rsid w:val="00941AF6"/>
    <w:rsid w:val="00950A50"/>
    <w:rsid w:val="00961B7F"/>
    <w:rsid w:val="0097677A"/>
    <w:rsid w:val="0098181D"/>
    <w:rsid w:val="00985856"/>
    <w:rsid w:val="00990E35"/>
    <w:rsid w:val="009B0480"/>
    <w:rsid w:val="009B57C0"/>
    <w:rsid w:val="009B5A55"/>
    <w:rsid w:val="009B6D9E"/>
    <w:rsid w:val="009D6ED4"/>
    <w:rsid w:val="009E19D3"/>
    <w:rsid w:val="009F049A"/>
    <w:rsid w:val="00A00395"/>
    <w:rsid w:val="00A11C0D"/>
    <w:rsid w:val="00A17A02"/>
    <w:rsid w:val="00A4398E"/>
    <w:rsid w:val="00A467AE"/>
    <w:rsid w:val="00A56121"/>
    <w:rsid w:val="00A57449"/>
    <w:rsid w:val="00A7753E"/>
    <w:rsid w:val="00A93572"/>
    <w:rsid w:val="00A9458C"/>
    <w:rsid w:val="00AB2473"/>
    <w:rsid w:val="00AD0B81"/>
    <w:rsid w:val="00B12F19"/>
    <w:rsid w:val="00B26E92"/>
    <w:rsid w:val="00B459CA"/>
    <w:rsid w:val="00B623AF"/>
    <w:rsid w:val="00B95F53"/>
    <w:rsid w:val="00BB2969"/>
    <w:rsid w:val="00BC1CED"/>
    <w:rsid w:val="00BD589B"/>
    <w:rsid w:val="00BD7585"/>
    <w:rsid w:val="00C006D0"/>
    <w:rsid w:val="00C06DAE"/>
    <w:rsid w:val="00C131D2"/>
    <w:rsid w:val="00C13E61"/>
    <w:rsid w:val="00C17A1B"/>
    <w:rsid w:val="00C85052"/>
    <w:rsid w:val="00C869CB"/>
    <w:rsid w:val="00C95C76"/>
    <w:rsid w:val="00CC0657"/>
    <w:rsid w:val="00CD0D0F"/>
    <w:rsid w:val="00CD5207"/>
    <w:rsid w:val="00CE20F7"/>
    <w:rsid w:val="00CE49AF"/>
    <w:rsid w:val="00D27BFC"/>
    <w:rsid w:val="00D72CAA"/>
    <w:rsid w:val="00D731FA"/>
    <w:rsid w:val="00D74DB8"/>
    <w:rsid w:val="00D74F1D"/>
    <w:rsid w:val="00D776E5"/>
    <w:rsid w:val="00D94E37"/>
    <w:rsid w:val="00DB7DBB"/>
    <w:rsid w:val="00DE04C2"/>
    <w:rsid w:val="00E1182F"/>
    <w:rsid w:val="00E22CB5"/>
    <w:rsid w:val="00E32B77"/>
    <w:rsid w:val="00E43350"/>
    <w:rsid w:val="00E701C2"/>
    <w:rsid w:val="00E85860"/>
    <w:rsid w:val="00E87082"/>
    <w:rsid w:val="00E92BD6"/>
    <w:rsid w:val="00EA137F"/>
    <w:rsid w:val="00EA4395"/>
    <w:rsid w:val="00ED26B0"/>
    <w:rsid w:val="00ED663F"/>
    <w:rsid w:val="00ED6DA0"/>
    <w:rsid w:val="00EF7005"/>
    <w:rsid w:val="00EF73B5"/>
    <w:rsid w:val="00F129CE"/>
    <w:rsid w:val="00F21926"/>
    <w:rsid w:val="00F31AC4"/>
    <w:rsid w:val="00F616BE"/>
    <w:rsid w:val="00F70F30"/>
    <w:rsid w:val="00F74942"/>
    <w:rsid w:val="00F8218E"/>
    <w:rsid w:val="00F94349"/>
    <w:rsid w:val="00FB04D0"/>
    <w:rsid w:val="00FC4A99"/>
    <w:rsid w:val="00FD1C6F"/>
    <w:rsid w:val="00FD227D"/>
    <w:rsid w:val="00FE3A4D"/>
    <w:rsid w:val="00FE7129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B9480-8FD8-4486-9726-DBF3A59A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29C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B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3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07B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E81"/>
  </w:style>
  <w:style w:type="paragraph" w:styleId="aa">
    <w:name w:val="footer"/>
    <w:basedOn w:val="a"/>
    <w:link w:val="ab"/>
    <w:uiPriority w:val="99"/>
    <w:unhideWhenUsed/>
    <w:rsid w:val="0089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E81"/>
  </w:style>
  <w:style w:type="paragraph" w:styleId="ac">
    <w:name w:val="Body Text Indent"/>
    <w:basedOn w:val="a"/>
    <w:link w:val="ad"/>
    <w:rsid w:val="002170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170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E85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9B89-753B-4F72-BA71-C81765D5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PKK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Константин Александрович</dc:creator>
  <cp:lastModifiedBy>Литвиненко Валерия Евгеньевна</cp:lastModifiedBy>
  <cp:revision>19</cp:revision>
  <cp:lastPrinted>2021-03-15T22:32:00Z</cp:lastPrinted>
  <dcterms:created xsi:type="dcterms:W3CDTF">2021-03-15T01:50:00Z</dcterms:created>
  <dcterms:modified xsi:type="dcterms:W3CDTF">2021-03-15T22:37:00Z</dcterms:modified>
</cp:coreProperties>
</file>