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76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14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777"/>
      </w:tblGrid>
      <w:tr>
        <w:tc>
          <w:tcPr>
            <w:tcW w:type="dxa" w:w="977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00000">
            <w:pPr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изменений в приложение к постановлению Правительства Камчатского края от 11.11.2008 № 356-П «</w:t>
            </w:r>
            <w:r>
              <w:rPr>
                <w:rFonts w:ascii="Times New Roman" w:hAnsi="Times New Roman"/>
                <w:b w:val="1"/>
                <w:sz w:val="28"/>
              </w:rPr>
              <w:t>Об утверждении Примерного положения о системе оплаты труда работников государственных учреждений, подведомственных Агентству записи актов гражданского состояния и архивного дела Камчатского края»</w:t>
            </w:r>
          </w:p>
        </w:tc>
      </w:tr>
    </w:tbl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Внести в приложение к </w:t>
      </w:r>
      <w:r>
        <w:rPr>
          <w:rFonts w:ascii="Times New Roman" w:hAnsi="Times New Roman"/>
          <w:spacing w:val="-4"/>
          <w:sz w:val="28"/>
        </w:rPr>
        <w:t>постановлению Правительства Камчатского края от 11.11.2008 № 356-П «Об утверждении Примерного положения о системе оплаты труда работников государственных учреждений, подведомственных Агентству записи актов гражданского состояния и архивного дела Камчатског</w:t>
      </w:r>
      <w:r>
        <w:rPr>
          <w:rFonts w:ascii="Times New Roman" w:hAnsi="Times New Roman"/>
          <w:spacing w:val="-4"/>
          <w:sz w:val="28"/>
        </w:rPr>
        <w:t>о края» следующие изменения:</w:t>
      </w:r>
    </w:p>
    <w:p w14:paraId="16000000">
      <w:pPr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в части 10: </w:t>
      </w:r>
    </w:p>
    <w:p w14:paraId="17000000">
      <w:pPr>
        <w:tabs>
          <w:tab w:leader="none" w:pos="1418" w:val="left"/>
        </w:tabs>
        <w:spacing w:after="0" w:line="240" w:lineRule="auto"/>
        <w:ind w:firstLine="709" w:left="0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а) таблицу пункта 1 изложить в следующей редакции:</w:t>
      </w:r>
    </w:p>
    <w:p w14:paraId="18000000">
      <w:pPr>
        <w:tabs>
          <w:tab w:leader="none" w:pos="1418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4"/>
        <w:gridCol w:w="6347"/>
        <w:gridCol w:w="2693"/>
      </w:tblGrid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№ п/п</w:t>
            </w:r>
          </w:p>
        </w:tc>
        <w:tc>
          <w:tcPr>
            <w:tcW w:type="dxa" w:w="6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Профессиональная</w:t>
            </w:r>
          </w:p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квалификационная группа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Рекомендуемые размеры окладов (должностных окладов), рублей</w:t>
            </w:r>
          </w:p>
        </w:tc>
      </w:tr>
    </w:tbl>
    <w:p w14:paraId="1D000000">
      <w:pPr>
        <w:tabs>
          <w:tab w:leader="none" w:pos="993" w:val="left"/>
        </w:tabs>
        <w:spacing w:after="0" w:line="240" w:lineRule="auto"/>
        <w:ind w:firstLine="0" w:left="1069"/>
        <w:jc w:val="both"/>
        <w:rPr>
          <w:rFonts w:ascii="Times New Roman" w:hAnsi="Times New Roman"/>
          <w:sz w:val="2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94"/>
        <w:gridCol w:w="6347"/>
        <w:gridCol w:w="2693"/>
      </w:tblGrid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1</w:t>
            </w:r>
          </w:p>
        </w:tc>
        <w:tc>
          <w:tcPr>
            <w:tcW w:type="dxa" w:w="6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3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1.</w:t>
            </w:r>
          </w:p>
        </w:tc>
        <w:tc>
          <w:tcPr>
            <w:tcW w:type="dxa" w:w="6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 xml:space="preserve">Должности работников государственных </w:t>
            </w:r>
            <w:r>
              <w:rPr>
                <w:rFonts w:ascii="Times New Roman" w:hAnsi="Times New Roman"/>
                <w:spacing w:val="-6"/>
                <w:sz w:val="24"/>
              </w:rPr>
              <w:t>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13 362–16 107</w:t>
            </w:r>
          </w:p>
        </w:tc>
      </w:tr>
      <w:tr>
        <w:tc>
          <w:tcPr>
            <w:tcW w:type="dxa" w:w="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2.</w:t>
            </w:r>
          </w:p>
        </w:tc>
        <w:tc>
          <w:tcPr>
            <w:tcW w:type="dxa" w:w="63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Должности работников государственных архивов, центров хранения докум</w:t>
            </w:r>
            <w:r>
              <w:rPr>
                <w:rFonts w:ascii="Times New Roman" w:hAnsi="Times New Roman"/>
                <w:spacing w:val="-6"/>
                <w:sz w:val="24"/>
              </w:rPr>
              <w:t>ентации, архивов муниципальных образований, ведомств, организаций, лабораторий обеспечения сохранности архивных документов четвертого уровня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Autospacing="on" w:beforeAutospacing="on" w:line="240" w:lineRule="auto"/>
              <w:ind w:firstLine="0" w:left="34"/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18 104</w:t>
            </w:r>
          </w:p>
        </w:tc>
      </w:tr>
    </w:tbl>
    <w:p w14:paraId="27000000">
      <w:pPr>
        <w:tabs>
          <w:tab w:leader="none" w:pos="993" w:val="left"/>
        </w:tabs>
        <w:spacing w:after="0" w:line="240" w:lineRule="auto"/>
        <w:ind w:firstLine="0" w:left="1069"/>
        <w:contextualSpacing w:val="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14:paraId="28000000">
      <w:pPr>
        <w:tabs>
          <w:tab w:leader="none" w:pos="993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б) таблицу пункта 2 изложить в следующей редакции:</w:t>
      </w:r>
    </w:p>
    <w:p w14:paraId="29000000">
      <w:pPr>
        <w:tabs>
          <w:tab w:leader="none" w:pos="993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«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4"/>
        <w:gridCol w:w="6237"/>
        <w:gridCol w:w="2693"/>
      </w:tblGrid>
      <w:tr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№ п/п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Профессиональная</w:t>
            </w:r>
          </w:p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квалификационная группа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 w:firstLine="0" w:left="-108" w:right="-108"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Рекомендуемые размеры окладов (должностных окладов), рублей</w:t>
            </w:r>
          </w:p>
        </w:tc>
      </w:tr>
    </w:tbl>
    <w:p w14:paraId="2E000000">
      <w:pPr>
        <w:tabs>
          <w:tab w:leader="none" w:pos="993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pacing w:val="-4"/>
          <w:sz w:val="2"/>
        </w:rPr>
      </w:pPr>
    </w:p>
    <w:tbl>
      <w:tblPr>
        <w:tblStyle w:val="Style_1"/>
        <w:tblInd w:type="dxa" w:w="-5"/>
        <w:tblLayout w:type="fixed"/>
        <w:tblCellMar>
          <w:left w:type="dxa" w:w="75"/>
          <w:right w:type="dxa" w:w="75"/>
        </w:tblCellMar>
      </w:tblPr>
      <w:tblGrid>
        <w:gridCol w:w="709"/>
        <w:gridCol w:w="6237"/>
        <w:gridCol w:w="2693"/>
      </w:tblGrid>
      <w:tr>
        <w:trPr>
          <w:trHeight w:hRule="atLeast" w:val="2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</w:t>
            </w:r>
          </w:p>
        </w:tc>
      </w:tr>
      <w:tr>
        <w:trPr>
          <w:trHeight w:hRule="atLeast" w:val="397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Общеотраслевые должности служащих первого уровня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12 362 </w:t>
            </w:r>
          </w:p>
        </w:tc>
      </w:tr>
      <w:tr>
        <w:trPr>
          <w:trHeight w:hRule="atLeast" w:val="397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</w:t>
            </w:r>
          </w:p>
        </w:tc>
        <w:tc>
          <w:tcPr>
            <w:tcW w:type="dxa" w:w="62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Общеотраслевые должности служащих второго уровня</w:t>
            </w:r>
          </w:p>
        </w:tc>
        <w:tc>
          <w:tcPr>
            <w:tcW w:type="dxa" w:w="26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12 487–16 232</w:t>
            </w:r>
          </w:p>
        </w:tc>
      </w:tr>
      <w:tr>
        <w:trPr>
          <w:trHeight w:hRule="atLeast" w:val="397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3.</w:t>
            </w:r>
          </w:p>
        </w:tc>
        <w:tc>
          <w:tcPr>
            <w:tcW w:type="dxa" w:w="62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Общеотраслевые должности служащих третьего уровня</w:t>
            </w:r>
          </w:p>
        </w:tc>
        <w:tc>
          <w:tcPr>
            <w:tcW w:type="dxa" w:w="26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16 232–17 108</w:t>
            </w:r>
          </w:p>
        </w:tc>
      </w:tr>
      <w:tr>
        <w:trPr>
          <w:trHeight w:hRule="atLeast" w:val="397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4.</w:t>
            </w:r>
          </w:p>
        </w:tc>
        <w:tc>
          <w:tcPr>
            <w:tcW w:type="dxa" w:w="623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Общеотраслевые должности служащих четвертого уровня</w:t>
            </w:r>
          </w:p>
        </w:tc>
        <w:tc>
          <w:tcPr>
            <w:tcW w:type="dxa" w:w="269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18 104–19 877 </w:t>
            </w:r>
          </w:p>
        </w:tc>
      </w:tr>
    </w:tbl>
    <w:p w14:paraId="3E000000">
      <w:pPr>
        <w:tabs>
          <w:tab w:leader="none" w:pos="993" w:val="left"/>
        </w:tabs>
        <w:spacing w:after="0" w:line="240" w:lineRule="auto"/>
        <w:ind w:firstLine="0" w:left="709"/>
        <w:contextualSpacing w:val="1"/>
        <w:jc w:val="right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»;</w:t>
      </w:r>
    </w:p>
    <w:p w14:paraId="3F000000">
      <w:pPr>
        <w:numPr>
          <w:ilvl w:val="0"/>
          <w:numId w:val="2"/>
        </w:num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таблицу части 20 изложить в следующей редакции:</w:t>
      </w:r>
    </w:p>
    <w:p w14:paraId="40000000">
      <w:pPr>
        <w:tabs>
          <w:tab w:leader="none" w:pos="993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«</w:t>
      </w:r>
    </w:p>
    <w:tbl>
      <w:tblPr>
        <w:tblStyle w:val="Style_1"/>
        <w:tblInd w:type="dxa" w:w="75"/>
        <w:tblLayout w:type="fixed"/>
        <w:tblCellMar>
          <w:left w:type="dxa" w:w="75"/>
          <w:right w:type="dxa" w:w="75"/>
        </w:tblCellMar>
      </w:tblPr>
      <w:tblGrid>
        <w:gridCol w:w="629"/>
        <w:gridCol w:w="6237"/>
        <w:gridCol w:w="2693"/>
      </w:tblGrid>
      <w:tr>
        <w:trPr>
          <w:trHeight w:hRule="atLeast" w:val="600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№ п/п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Профессиональная</w:t>
            </w:r>
          </w:p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квалификационная группа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Рекомендуемые размеры окладов (должностных окладов), рублей</w:t>
            </w:r>
          </w:p>
        </w:tc>
      </w:tr>
    </w:tbl>
    <w:p w14:paraId="45000000">
      <w:pPr>
        <w:tabs>
          <w:tab w:leader="none" w:pos="993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pacing w:val="-4"/>
          <w:sz w:val="2"/>
        </w:rPr>
      </w:pPr>
    </w:p>
    <w:tbl>
      <w:tblPr>
        <w:tblStyle w:val="Style_1"/>
        <w:tblInd w:type="dxa" w:w="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629"/>
        <w:gridCol w:w="6237"/>
        <w:gridCol w:w="2693"/>
      </w:tblGrid>
      <w:tr>
        <w:trPr>
          <w:trHeight w:hRule="atLeast" w:val="321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3</w:t>
            </w:r>
          </w:p>
        </w:tc>
      </w:tr>
      <w:tr>
        <w:trPr>
          <w:trHeight w:hRule="atLeast" w:val="384"/>
        </w:trP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Общеотраслевые профессии рабочих первого уровня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B000000">
            <w:pPr>
              <w:widowControl w:val="0"/>
              <w:spacing w:after="0" w:line="240" w:lineRule="auto"/>
              <w:ind w:firstLine="0" w:left="569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10 115–11 739</w:t>
            </w:r>
          </w:p>
        </w:tc>
      </w:tr>
    </w:tbl>
    <w:p w14:paraId="4C000000">
      <w:pPr>
        <w:tabs>
          <w:tab w:leader="none" w:pos="993" w:val="left"/>
        </w:tabs>
        <w:spacing w:after="0" w:line="240" w:lineRule="auto"/>
        <w:ind w:firstLine="0" w:left="709"/>
        <w:contextualSpacing w:val="1"/>
        <w:jc w:val="right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».</w:t>
      </w:r>
    </w:p>
    <w:p w14:paraId="4D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Настоящее постановление вступает в силу после дня</w:t>
      </w:r>
      <w:r>
        <w:rPr>
          <w:rFonts w:ascii="Times New Roman" w:hAnsi="Times New Roman"/>
          <w:spacing w:val="-4"/>
          <w:sz w:val="28"/>
        </w:rPr>
        <w:t xml:space="preserve"> его официального опубликования </w:t>
      </w:r>
      <w:r>
        <w:rPr>
          <w:rFonts w:ascii="Times New Roman" w:hAnsi="Times New Roman"/>
          <w:sz w:val="28"/>
        </w:rPr>
        <w:t>и распространяется на правоотношения, возникшие с 1 декабря 2024 года.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F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0000000">
      <w:pPr>
        <w:spacing w:after="0" w:line="276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410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51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14:paraId="52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53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</w:t>
            </w:r>
            <w:bookmarkStart w:id="3" w:name="_GoBack"/>
            <w:bookmarkEnd w:id="3"/>
            <w:r>
              <w:rPr>
                <w:rFonts w:ascii="Times New Roman" w:hAnsi="Times New Roman"/>
                <w:color w:val="FFFFFF"/>
                <w:sz w:val="24"/>
              </w:rPr>
              <w:t>альный штамп подписи 1]</w:t>
            </w:r>
            <w:bookmarkEnd w:id="2"/>
          </w:p>
          <w:p w14:paraId="54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shd w:fill="auto" w:val="clear"/>
            <w:tcMar>
              <w:left w:type="dxa" w:w="0"/>
              <w:right w:type="dxa" w:w="0"/>
            </w:tcMar>
          </w:tcPr>
          <w:p w14:paraId="55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14:paraId="5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Е.А. Чекин</w:t>
            </w:r>
          </w:p>
        </w:tc>
      </w:tr>
    </w:tbl>
    <w:p w14:paraId="57000000"/>
    <w:sectPr>
      <w:headerReference r:id="rId1" w:type="default"/>
      <w:pgSz w:h="16848" w:orient="portrait" w:w="11908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russianLower"/>
      <w:lvlText w:val="%2)"/>
      <w:lvlJc w:val="left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lvlJc w:val="left"/>
      <w:pPr>
        <w:ind w:hanging="360" w:left="2880"/>
      </w:pPr>
    </w:lvl>
    <w:lvl w:ilvl="4">
      <w:start w:val="1"/>
      <w:numFmt w:val="russianLower"/>
      <w:lvlText w:val="%5)"/>
      <w:lvlJc w:val="left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russianLow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er"/>
    <w:basedOn w:val="Style_3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header"/>
    <w:basedOn w:val="Style_3_ch"/>
    <w:link w:val="Style_9"/>
  </w:style>
  <w:style w:styleId="Style_10" w:type="paragraph">
    <w:name w:val="Основной шрифт абзаца2"/>
    <w:link w:val="Style_10_ch"/>
  </w:style>
  <w:style w:styleId="Style_10_ch" w:type="character">
    <w:name w:val="Основной шрифт абзаца2"/>
    <w:link w:val="Style_10"/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Plain Text"/>
    <w:basedOn w:val="Style_3"/>
    <w:link w:val="Style_14_ch"/>
    <w:pPr>
      <w:spacing w:after="0" w:line="240" w:lineRule="auto"/>
      <w:ind/>
    </w:pPr>
    <w:rPr>
      <w:rFonts w:ascii="Calibri" w:hAnsi="Calibri"/>
    </w:rPr>
  </w:style>
  <w:style w:styleId="Style_14_ch" w:type="character">
    <w:name w:val="Plain Text"/>
    <w:basedOn w:val="Style_3_ch"/>
    <w:link w:val="Style_14"/>
    <w:rPr>
      <w:rFonts w:ascii="Calibri" w:hAnsi="Calibri"/>
    </w:rPr>
  </w:style>
  <w:style w:styleId="Style_15" w:type="paragraph">
    <w:name w:val="Гиперссылка1"/>
    <w:basedOn w:val="Style_16"/>
    <w:link w:val="Style_15_ch"/>
    <w:rPr>
      <w:color w:themeColor="hyperlink" w:val="0563C1"/>
      <w:u w:val="single"/>
    </w:rPr>
  </w:style>
  <w:style w:styleId="Style_15_ch" w:type="character">
    <w:name w:val="Гиперссылка1"/>
    <w:basedOn w:val="Style_16_ch"/>
    <w:link w:val="Style_15"/>
    <w:rPr>
      <w:color w:themeColor="hyperlink" w:val="0563C1"/>
      <w:u w:val="single"/>
    </w:rPr>
  </w:style>
  <w:style w:styleId="Style_17" w:type="paragraph">
    <w:name w:val="toc 3"/>
    <w:next w:val="Style_3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Гиперссылка2"/>
    <w:link w:val="Style_20_ch"/>
    <w:rPr>
      <w:color w:val="0000FF"/>
      <w:u w:val="single"/>
    </w:rPr>
  </w:style>
  <w:style w:styleId="Style_20_ch" w:type="character">
    <w:name w:val="Гиперссылка2"/>
    <w:link w:val="Style_20"/>
    <w:rPr>
      <w:color w:val="0000FF"/>
      <w:u w:val="single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3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3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Endnote"/>
    <w:link w:val="Style_26_ch"/>
    <w:pPr>
      <w:ind w:firstLine="851" w:left="0"/>
      <w:jc w:val="both"/>
    </w:pPr>
    <w:rPr>
      <w:rFonts w:ascii="XO Thames" w:hAnsi="XO Thames"/>
    </w:rPr>
  </w:style>
  <w:style w:styleId="Style_26_ch" w:type="character">
    <w:name w:val="Endnote"/>
    <w:link w:val="Style_26"/>
    <w:rPr>
      <w:rFonts w:ascii="XO Thames" w:hAnsi="XO Thames"/>
    </w:rPr>
  </w:style>
  <w:style w:styleId="Style_27" w:type="paragraph">
    <w:name w:val="toc 8"/>
    <w:next w:val="Style_3"/>
    <w:link w:val="Style_27_ch"/>
    <w:uiPriority w:val="39"/>
    <w:pPr>
      <w:ind w:firstLine="0"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Заголовок 4 Знак"/>
    <w:link w:val="Style_28_ch"/>
    <w:rPr>
      <w:rFonts w:ascii="XO Thames" w:hAnsi="XO Thames"/>
      <w:b w:val="1"/>
      <w:sz w:val="24"/>
    </w:rPr>
  </w:style>
  <w:style w:styleId="Style_28_ch" w:type="character">
    <w:name w:val="Заголовок 4 Знак"/>
    <w:link w:val="Style_28"/>
    <w:rPr>
      <w:rFonts w:ascii="XO Thames" w:hAnsi="XO Thames"/>
      <w:b w:val="1"/>
      <w:sz w:val="24"/>
    </w:rPr>
  </w:style>
  <w:style w:styleId="Style_29" w:type="paragraph">
    <w:name w:val="Balloon Text"/>
    <w:basedOn w:val="Style_3"/>
    <w:link w:val="Style_29_ch"/>
    <w:pPr>
      <w:spacing w:after="0" w:line="240" w:lineRule="auto"/>
      <w:ind/>
    </w:pPr>
    <w:rPr>
      <w:rFonts w:ascii="Segoe UI" w:hAnsi="Segoe UI"/>
      <w:sz w:val="18"/>
    </w:rPr>
  </w:style>
  <w:style w:styleId="Style_29_ch" w:type="character">
    <w:name w:val="Balloon Text"/>
    <w:basedOn w:val="Style_3_ch"/>
    <w:link w:val="Style_29"/>
    <w:rPr>
      <w:rFonts w:ascii="Segoe UI" w:hAnsi="Segoe UI"/>
      <w:sz w:val="18"/>
    </w:rPr>
  </w:style>
  <w:style w:styleId="Style_30" w:type="paragraph">
    <w:name w:val="toc 5"/>
    <w:next w:val="Style_3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footer"/>
    <w:basedOn w:val="Style_3"/>
    <w:link w:val="Style_3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5_ch" w:type="character">
    <w:name w:val="footer"/>
    <w:basedOn w:val="Style_3_ch"/>
    <w:link w:val="Style_35"/>
    <w:rPr>
      <w:rFonts w:ascii="Times New Roman" w:hAnsi="Times New Roman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2024-12-12T21:12:03Z</dcterms:modified>
</cp:coreProperties>
</file>